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24 vom 27. November 2008</w:t>
      </w:r>
    </w:p>
    <w:p>
      <w:r>
        <w:t>VD Tribunal cantonal, 2008-11-27, FR</w:t>
      </w:r>
    </w:p>
    <w:p>
      <w:r>
        <w:rPr>
          <w:b/>
        </w:rPr>
        <w:t xml:space="preserve">Quelle: </w:t>
      </w:r>
      <w:r>
        <w:t>https://mcp.opencaselaw.ch/entscheid/vd_findinfo_ML___2009___24</w:t>
      </w:r>
    </w:p>
    <w:p>
      <w:r>
        <w:t>FR: VD_FINDINFO ML / 2009 / 24 du 27 novembre 2008</w:t>
      </w:r>
    </w:p>
    <w:p>
      <w:r>
        <w:t>IT: VD_FINDINFO ML / 2009 / 24 del 27 novembre 2008</w:t>
      </w:r>
    </w:p>
    <w:p>
      <w:pPr>
        <w:pStyle w:val="Heading2"/>
      </w:pPr>
      <w:r>
        <w:t>Regeste</w:t>
      </w:r>
    </w:p>
    <w:p>
      <w:r>
        <w:t>CÉDULE HYPOTHÉCAIRE, NOVATION | 82 LP</w:t>
      </w:r>
    </w:p>
    <w:p>
      <w:pPr>
        <w:pStyle w:val="Heading2"/>
      </w:pPr>
      <w:r>
        <w:t>Erwägungen</w:t>
      </w:r>
    </w:p>
    <w:p>
      <w:r>
        <w:rPr>
          <w:b/>
        </w:rPr>
        <w:t>E. 11</w:t>
      </w:r>
    </w:p>
    <w:p>
      <w:r>
        <w:t>août 1992, même si le commandement de payer mentionne principalement comme titre de la créance et cause de l'obligation le découvert consécutif à la vente de la parcelle n° 20'179 du cadastre de la Ville de Fribourg. b) Selon l'art. 82 al. 1 LP, le créancier dont la poursuite se fonde sur une reconnaissance de dette constatée par acte authentique ou sous seing privé peut requérir la mainlevée provisoire de l'opposition au commandement de payer. Constitue une reconnaissance de dette, au sens de cette disposition, l'acte authentique ou sous seing privé signé par le poursuivi, ou son représentant, d'où résulte sa volonté de payer au poursuivant, sans réserve ni condition, une somme d'argent déterminée ou déterminable et échue (ATF 130 III 87 c. 3.1, JT 2004 II 118). Le contrat de prêt dont l'objet est une somme d'argent justifie en principe la mainlevée provisoire pour le montant prêté et les intérêts convenus, à condition que le remboursement du prêt soit exigible (Panchaud/Caprez, La mainlevée d'opposi-tion, §§ 77 et 78). Le poursuivi sera libéré s'il rend vraisemblable, par pièces, que la dette est éteinte par paiement, compensation, prescription ou d'autres causes (Panchaud/ Caprez, op. cit., § 34).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 4.1.1, rés. in JT 2006 II 187 ; art .82 al. 2 LP). Le débiteur n'a donc pas à apporter la preuve absolue de ses moyens libératoires, mais seulement leur simple vraisemblance.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 TF 5P.321/2005 c. 3 du 27 janvier 2006 et les réf. cit.). III. a) A l'appui de son recours, R.________ invoque deux moyens libératoires. Premièrement, il soutient que la remise de la cédule hypothécaire de 250'000 fr. constituée le 22 septembre 1992 aurait éteint par novation, à concurrence dudit montant, la créance causale issue du prêt et que le solde de la créance causale aurait été remboursé par le montant de 243'350 fr. 05 obtenu par l'intimée dans le cadre de la réalisation forcée de l'immeuble constitué en gage. Deuxièmement, il se plaint d'une violation des art. 76 OAOF, 47 et 130 ORFI. Selon lui, la cédule hypothécaire de 250'000 fr. a été éteinte par la réalisation forcée de l'immeuble. b)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3e éd., nn. 2932 ss). Cette règle est toutefois de droit dispositif (art. 855 al. 2 CC) et les parties peuvent convenir d'une juxtaposition des deux créances, la créance abstraite constatée dans la cédule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119 III 105, JT 1996 II 115). Cette présomption légale en faveur de la novation existe même si l'exclusion de l'effet novatoire est fréquente en pratique (ATF 132 III 166 c. 6.2) ; elle reste valable tant que la preuve du contraire n'a pas été apportée (Kamerzin, Le contrat constitutif de cédule hypothécaire, thèse Fribourg 2003, n. 688 in fine, p. 273). La présomption peut être renversée, notamment par la preuve d'une convention de fiducie, conclue parallèlement au contrat constitutif, ou par une exclusion conventionnelle de l'effet novatoire (Kamerzin, op. cit., nn. 675 et 676, p. 276). c) En l'espèce, la poursuivante n'a pas produit de convention de fiducie et l'acte constitutif de la cédule hypothécaire ne contient pas de clause expresse d'exclusion de l'effet novatoire. Il reste à examiner si l'on peut déduire des pièces du dossier la volonté des parties d'écarter ledit effet novatoire, comme le soutient l'intimée. La cédule hypothécaire litigieuse est nominative en faveur de la pour-suivante et il est constant qu'elle a été constituée et remise postérieurement à la conclusion du contrat de prêt. La constitution et la remise de la cédule étaient d'ailleurs une condition de l'octroi du prêt hypothécaire. A cet égard, le contrat produit indique simplement que l'une des garanties est constituée par la « remise » de la cédule de 250'000 francs. En l'absence de toute indication plus précise, cette formulation permet tout au plus d'écarter la remise en nantissement du titre, que l'on ne saurait présumer (ATF 132 III 166 c. 6.2.1 précité); on doit admettre que l'obligation contractée par le constituant de créer une cédule au nom du créancier constitue un indice sérieux en faveur d'une garantie directe ou tout au moins d'une remise à titre fiduciaire (Kamerzin, op. cit., n. 687, p. 286). En ce qui concerne le choix de l'un des membres de cette alternative, on peut relever tout d'abord que les parties n'ont utilisé aucune des expressions constituant habituellement un indice en faveur d'un transfert fiduciaire à fin de garantie (remis à fin fiduciaire, afin de garantie, afin de sûreté, etc.). Il ne ressort par ailleurs ni du contrat de prêt hypothécaire ni des autres pièces du dossier un quelconque élément indiquant que les parties auraient entendu restreindre le pouvoir de disposition de la créancière sur la cédule (interdiction faite au créancier de céder le titre au détriment du débiteur, engagement du créancier de remettre le titre au débiteur une fois que la créance causale aura été exécutée ou encore promesse de restituer au débiteur l'excédent du produit de la réalisation; Kamerzin, op. cit., n. 189, pp. 85 ss.). L'intimée admet du reste en procédure avoir reçu le titre « en pleine propriété ». Il ressort en outre du contrat de prêt hypothécaire que les intéressés devaient signer une « déclaration de mise en garantie » pour les deux autres cédules (de 150'000 fr. et 50'000 fr.), mais non pour la cédule hypothécaire de 250'000 francs. Cette absence de déclaration de mise en garantie plaide également en faveur de la remise en pleine propriété du titre, soit de la novation. I.________ et R.________ ont, en plus du contrat de prêt hypothécaire, signé une déclaration de codébiteurs solidaires. Cette déclaration n'a pas de portée propre par rapport au contrat de prêt, qui mentionne déjà la solidarité. Il n'en ressort aucun indice en faveur d'une remise à titre fiduciaire. Les conditions générales régissant les prêts hypothécaires signées par I.________ et R.________ ne contiennent rien non plus en faveur de l'exclusion de l'effet novatoire. Par conséquent, les pièces figurant au dossier ne permettent pas d'arriver à la conclusion que les parties entendaient écarter l'effet novatoire de la constitution et de la remise de la cédule hypothécaire de 250'000 francs. L e poursuivi a ainsi rendu suffisamment vraisemblable que la créance causale était éteinte par novation. La mainlevée se saurait être prononcée. d) Au vu de ce qui précède, il n'est pas nécessaire d'examiner le moyen tiré de la violation des art . 76 OAOF, 47 et 130 ORFI. IV. Le recours doit donc être admis et le prononcé entrepris réformé en ce sens que l'opposition formée par R.________ au commandement de payer n° 314'711 de l'Office des poursuites et faillites de Montreux, notifié à la réquisition d'E.________ SA, est maintenue. Les frais de première instance, par 660 fr., sont laissés à la charge de la poursuivante, qui doit payer au poursuivi la somme de 1'000 fr. à titre de dépens de première instance. Les frais d'arrêt du recourant sont fixés à 1'050 francs. L'intimée doit payer à ce dernier la somme de 2'550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