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21 vom 20. März 2009</w:t>
      </w:r>
    </w:p>
    <w:p>
      <w:r>
        <w:t>VD Tribunal cantonal, 2009-03-20, FR</w:t>
      </w:r>
    </w:p>
    <w:p>
      <w:r>
        <w:rPr>
          <w:b/>
        </w:rPr>
        <w:t xml:space="preserve">Quelle: </w:t>
      </w:r>
      <w:r>
        <w:t>https://mcp.opencaselaw.ch/entscheid/vd_findinfo_ML___2009___21</w:t>
      </w:r>
    </w:p>
    <w:p>
      <w:r>
        <w:t>FR: VD_FINDINFO ML / 2009 / 21 du 20 mars 2009</w:t>
      </w:r>
    </w:p>
    <w:p>
      <w:r>
        <w:t>IT: VD_FINDINFO ML / 2009 / 21 del 20 marzo 2009</w:t>
      </w:r>
    </w:p>
    <w:p>
      <w:pPr>
        <w:pStyle w:val="Heading2"/>
      </w:pPr>
      <w:r>
        <w:t>Regeste</w:t>
      </w:r>
    </w:p>
    <w:p>
      <w:r>
        <w:t>MAINLEVÉE PROVISOIRE, RECONNAISSANCE DE DETTE, VENTE, SIGNATURE | 465 CPC, 82 LP</w:t>
      </w:r>
    </w:p>
    <w:p>
      <w:pPr>
        <w:pStyle w:val="Heading2"/>
      </w:pPr>
      <w:r>
        <w:t>Erwägungen</w:t>
      </w:r>
    </w:p>
    <w:p>
      <w:r>
        <w:rPr>
          <w:b/>
        </w:rPr>
        <w:t>E. 6</w:t>
      </w:r>
    </w:p>
    <w:p>
      <w:r>
        <w:t>octobre 2005 (10'000 fr.), ceux de F.________ des 21 novembre et 12 décembre 2006 (15'000 fr. et 13'0000 fr.), de même que celui du 21 juin 2007 en mains de l'office (2'906 fr. 60) se rapportent tous à des acomptes antérieurs à ceux faisant l'objet de la présente poursuite, que dans ces conditions, c'est à juste titre que le premier juge a prononcé la mainlevée, que le recours doit donc être rejeté en application de l'art. 465 al. 1 CPC et le prononcé entrepris maintenu ; considérant que les frais du présent arrêt doivent être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