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20 vom 4. März 2009</w:t>
      </w:r>
    </w:p>
    <w:p>
      <w:r>
        <w:t>VD Tribunal cantonal, 2009-03-04, FR</w:t>
      </w:r>
    </w:p>
    <w:p>
      <w:r>
        <w:rPr>
          <w:b/>
        </w:rPr>
        <w:t xml:space="preserve">Quelle: </w:t>
      </w:r>
      <w:r>
        <w:t>https://mcp.opencaselaw.ch/entscheid/vd_findinfo_ML___2009___20</w:t>
      </w:r>
    </w:p>
    <w:p>
      <w:r>
        <w:t>FR: VD_FINDINFO ML / 2009 / 20 du 4 mars 2009</w:t>
      </w:r>
    </w:p>
    <w:p>
      <w:r>
        <w:t>IT: VD_FINDINFO ML / 2009 / 20 del 4 marzo 2009</w:t>
      </w:r>
    </w:p>
    <w:p>
      <w:pPr>
        <w:pStyle w:val="Heading2"/>
      </w:pPr>
      <w:r>
        <w:t>Regeste</w:t>
      </w:r>
    </w:p>
    <w:p>
      <w:r>
        <w:t>MAINLEVÉE PROVISOIRE, DÉCISION D'IRRECEVABILITÉ | 17 CPC, 461 CPC, 58 al. 1 LVLP</w:t>
      </w:r>
    </w:p>
    <w:p>
      <w:pPr>
        <w:pStyle w:val="Heading2"/>
      </w:pPr>
      <w:r>
        <w:t>Volltext</w:t>
      </w:r>
    </w:p>
    <w:p>
      <w:r>
        <w:t>Vaud Tribunal cantonal Cour des poursuites et faillites 04.03.2009 ML / 2009 / 20</w:t>
      </w:r>
    </w:p>
    <w:p>
      <w:r>
        <w:t>MAINLEVÉE PROVISOIRE, DÉCISION D'IRRECEVABILITÉ | 17 CPC, 461 CPC, 58 al. 1 LVLP</w:t>
      </w:r>
    </w:p>
    <w:p>
      <w:r>
        <w:t>TRIBUNAL CANTONAL 86 Cour des poursuites et faillites ________________________________________________ Arrêt du 4 mars 2009 _________________ Présidence de   M. Muller , président Juges :         MM. Denys et  Sauterel Greffier :         Mme Debétaz Ponnaz ***** Art. 58 al. 1 LVLP; 17 et  461 CPC Vu le prononcé de mainlevée provisoire rendu le 11 novembre 2008, à la suite de l'audience du 6 novembre 2008, par le Juge de paix du district de Lavaux, dans la poursuite n° 241'307 de l'Office des poursuites et faillites de Lavaux exercée contre G.________ SA , à Forel, à l'instance de A.M.________ et B.M.________ , au Muids, vu la déclaration de recours et demande de motivation datée du 26 et postée le 27 novembre 2008 par G.________ SA, qui avait reçu ce prononcé le 18 novembre 2008, vu la décision motivée adressée pour notification aux parties le 5 décembre 2008, vu la transmission du dossier par le premier juge à la cour de céans, autorité de recours, le 23 décembre 2008; attendu que le recours peut être formé dans le délai de demande de motivation (art. 54 al. 3 LVLP - loi vaudoise d'application de la loi fédérale sur la poursuite pour dettes et la faillite; RSV 280.05), lequel est de dix jours dès la réception du dispositif, qu'en l'espèce, l'acte daté du 26 et posté le 27 novembre 2008, s'il s'agit d'un recours, a été déposé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G.________ SA par courrier recommandé daté du 31 décembre 2008, avec accusé de réception, en la priant de faire savoir à la cour si cet acte devait être considéré comme un recours à la suite de la motivation du prononcé de mainlevée, auquel cas un délai au 12 janvier 2009 lui était imparti pour le refaire en précisant ses conclusions et notamment le montant exact - en chiffres - qu'elle contestait ou reconnaissait devoir, faute de quoi le recours pourrait être déclaré irrecevable, que cet avis a été retourné par la Poste au greffe de la cour de céans à l'échéance du délai de garde avec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ce qui est le cas en l'espèce de G.________ SA qui, ayant manifesté sa volonté de recourir, devait s'attendre à recevoir un pli des autorités judiciaires, de première ou de deuxième instance, qu'elle n'a donné aucune suite à l'avis précité dans le délai imparti, que, faute de comporter des conclusions suffisantes, le recours du 26, posté le 27 novembre 2008, s'il s'agit d'un recours,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4 mars 2009 L'arrêt qui précède, dont la rédaction a été approuvée à huis clos, prend date de ce jour. Il est notifié, par l'envoi de photocopies, à : ‑      G.________ SA, ‑      Me Filippo Ryter, avocat (pour M. et Mme A.M.________ et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