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175 vom 10. Dezember 2009</w:t>
      </w:r>
    </w:p>
    <w:p>
      <w:r>
        <w:t>VD Tribunal cantonal, 2009-12-10, FR</w:t>
      </w:r>
    </w:p>
    <w:p>
      <w:r>
        <w:rPr>
          <w:b/>
        </w:rPr>
        <w:t xml:space="preserve">Quelle: </w:t>
      </w:r>
      <w:r>
        <w:t>https://mcp.opencaselaw.ch/entscheid/vd_findinfo_ML___2009___175</w:t>
      </w:r>
    </w:p>
    <w:p>
      <w:r>
        <w:t>FR: VD_FINDINFO ML / 2009 / 175 du 10 décembre 2009</w:t>
      </w:r>
    </w:p>
    <w:p>
      <w:r>
        <w:t>IT: VD_FINDINFO ML / 2009 / 175 del 10 dicembre 2009</w:t>
      </w:r>
    </w:p>
    <w:p>
      <w:pPr>
        <w:pStyle w:val="Heading2"/>
      </w:pPr>
      <w:r>
        <w:t>Regeste</w:t>
      </w:r>
    </w:p>
    <w:p>
      <w:r>
        <w:t>CAUSE DE L'OBLIGATION, COMMANDEMENT DE PAYER, CONTRAT BILATÉRAL, MAINLEVÉE PROVISOIRE, RÉQUISITION DE POURSUITE | 67 al. 1 ch. 4 LP, 69 al. 2 ch. 1 LP, 82 LP</w:t>
      </w:r>
    </w:p>
    <w:p>
      <w:pPr>
        <w:pStyle w:val="Heading2"/>
      </w:pPr>
      <w:r>
        <w:t>Erwägungen</w:t>
      </w:r>
    </w:p>
    <w:p>
      <w:r>
        <w:rPr>
          <w:b/>
        </w:rPr>
        <w:t>E. 13</w:t>
      </w:r>
    </w:p>
    <w:p>
      <w:r>
        <w:t>août 2007. En revanche, il était impossible de déterminer pour quelle période ces cotisations sont réclamées. Dans sa requête de mainlevée, le poursuivant a indiqué qu'il s'agissait des cotisations dues jusqu'à la fin du contrat. Il n'a toutefois pas établi par pièces que le contrat aurait été résilié par l'une ou l'autre des parties. Ce n'est qu'au stade du recours que le poursuivant a indiqué que les cotisations réclamées étaient celles des mois de décembre 2007 à août 2009. La somme en poursuite ne correspond toutefois pas au résultat de la multiplication de 50 fr. par vingt-et-un mois que représente cette période, même en tenant compte d'éventuels frais de rappel de 15 francs. D'ailleurs, il ne saurait être retenu que ces frais de rappels sont dus dès lors que le recourant n'établit pas par titre avoir effectivement adressé un ou des rappels à l'intimé. Au vu de ce qui précède, on doit considérer que la créance est insuffisamment désignée dans le commandement de payer et que les pièces produites en première instance ne permettent pas de déterminer ce que recouvre le montant réclamé. C'est donc à juste titre que le premier juge a refusé la mainlevée. III. Le recours doit ainsi être rejeté et le prononcé confirmé. Les frais de deuxième instance du recourant sont arrêtés à 270 francs. Il n'y a pas lieu d'allouer de dépens à l'intimé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