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144 vom 4. Dezember 2009</w:t>
      </w:r>
    </w:p>
    <w:p>
      <w:r>
        <w:t>VD Tribunal cantonal, 2009-12-04, FR</w:t>
      </w:r>
    </w:p>
    <w:p>
      <w:r>
        <w:rPr>
          <w:b/>
        </w:rPr>
        <w:t xml:space="preserve">Quelle: </w:t>
      </w:r>
      <w:r>
        <w:t>https://mcp.opencaselaw.ch/entscheid/vd_findinfo_ML___2009___144</w:t>
      </w:r>
    </w:p>
    <w:p>
      <w:r>
        <w:t>FR: VD_FINDINFO ML / 2009 / 144 du 4 décembre 2009</w:t>
      </w:r>
    </w:p>
    <w:p>
      <w:r>
        <w:t>IT: VD_FINDINFO ML / 2009 / 144 del 4 dicembre 2009</w:t>
      </w:r>
    </w:p>
    <w:p>
      <w:pPr>
        <w:pStyle w:val="Heading2"/>
      </w:pPr>
      <w:r>
        <w:t>Regeste</w:t>
      </w:r>
    </w:p>
    <w:p>
      <w:r>
        <w:t>NOTIFICATION DE LA DÉCISION, DÉLAI DE RECOURS, DÉCISION D'IRRECEVABILITÉ | 464 al. 1 CPC, 57 al. 1 LVLP</w:t>
      </w:r>
    </w:p>
    <w:p>
      <w:pPr>
        <w:pStyle w:val="Heading2"/>
      </w:pPr>
      <w:r>
        <w:t>Volltext</w:t>
      </w:r>
    </w:p>
    <w:p>
      <w:r>
        <w:t>Vaud Tribunal cantonal Cour des poursuites et faillites 04.12.2009 ML / 2009 / 144</w:t>
      </w:r>
    </w:p>
    <w:p>
      <w:r>
        <w:t>NOTIFICATION DE LA DÉCISION, DÉLAI DE RECOURS, DÉCISION D'IRRECEVABILITÉ | 464 al. 1 CPC, 57 al. 1 LVLP</w:t>
      </w:r>
    </w:p>
    <w:p>
      <w:r>
        <w:t>TRIBUNAL CANTONAL 411 Cour des poursuites et faillites ________________________________________________ Arrêt du 4 décembre 2009 ____________________ Présidence de   M. Muller , président Juges : Mme   Carlsson et M. Bosshard Greffier : Mme   Nüssli ***** Art. 57 al. 1 LVLP, 464 CPC Vu le prononcé du 5 mai 2009, rendu à la suite de l'audience du 24 mars 2009 par le Juge de paix du district de l'Ouest lausannois, dans la cause opposant W.________ , à Cugy, à S.________ , à Echarlens, vu les motifs de cette décision adressés pour notification aux parties le 21 juillet 2009, vu le recours de W.________, daté du 20 août, mais posté le 22 août 2009; attendu que selon les informations d'acheminement de La Poste, le pli recommandé contenant la motivation du prononcé, parvenu le 22 juillet à la poste de Cugy, a été gardé à cet office conformément à la demande de la destinataire jusqu'au 18 août 2009, date à laquelle il a été distribué, que selon les conditions générales de la poste (CGP), le délai de retrait à l'office postal d'un envoi dont le destinataire n'a pu être atteint est de sept jours (art. 2.3.7 litt.  b CGP), que le destinataire d'un pli non retiré dans le délai de garde est censé l'avoir reçu le dernier jour de ce délai (notification fictive), s'il devait s'attendre à sa distribution (Poudret/Haldy/Tappy, Procédure civile vaudoise, Code annoté, n. 1.2 ad art. 23 CPC), que la date de la notification fictive ne peut être repoussée lorsqu'un retrait ultérieur a lieu, notamment à la suite d'une demande de garde du courrier (ATF 123 III 492, JT 1999 II 109; ATF 127 I 31, c. 2b, JT 2001 I 727), qu'en l'espèce la recourante, qui avait déposé une requête de mainlevée de l'opposition, puis demandé la motivation du prononcé de mainlevée devait s'attendre à recevoir celle-ci, que la fiction de notification à l'échéance du délai de garde de sept jours s'applique en conséquence, le délai de recours ayant commencé à courir au plus tard le 30 juillet 2009, qu'ainsi l'échéance du délai de dix jours pour recourir (art. 58 LVLP, loi d'application dans le canton de Vaud de la loi fédérale sur la poursuite pour dettes et la faillite du 18 mai 1955, RSV 280.05) tombait le dimanche 9 août 2009 et était d'office reportée au lundi 10 août 2009 (art. 31 al. 3 LP, loi fédérale sur la poursuite pour dettes et la faillite du 11 avril 1889, RS 281.1), que l'acte de recours a été déposé le 22 août 2009, soit après l'échéance du délai de recours; attendu que seuls les empêchements majeurs permettent à la partie de ne pas observer un délai fixé par la loi (art. 37 CPC, Code de procédure civile du canton de Vaud du 14 décembre 1966, RSV 270.11), qu'interpellée par le président de la cour de céans en application de l'art. 464 al. 1 CPC, la recourante a indiqué avoir effectué un séjour dans sa famille à l'étranger jusqu'au 17 août 2009, qu'une telle absence ne constitue pas un empêchement majeur, la recourante devant prendre les mesures nécessaires pour assurer la poursuite de la procédure qu'elle avait elle-même initiée, que les conditions d'une éventuelle restitution de délai - d'ailleurs non requise - ne sont ainsi pas remplies; attendu que le recours est tardif et, partant, irrecevable que le présent arrêt doit être rendu sans frais.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4 décembre 2009 L'arrêt qui précède, dont la rédaction a été approuvée à huis clos, prend date de ce jour. Il est notifié, par l'envoi de photocopies, à : ‑      Mme W.________, ‑      M. S.________. La Cour des poursuites et faillites considère que la valeur litigieuse est de 30'328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