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2009 / 126 vom 21. Oktober 2009</w:t>
      </w:r>
    </w:p>
    <w:p>
      <w:r>
        <w:t>VD Tribunal cantonal, 2009-10-21, FR</w:t>
      </w:r>
    </w:p>
    <w:p>
      <w:r>
        <w:rPr>
          <w:b/>
        </w:rPr>
        <w:t xml:space="preserve">Quelle: </w:t>
      </w:r>
      <w:r>
        <w:t>https://mcp.opencaselaw.ch/entscheid/vd_findinfo_ML___2009___126</w:t>
      </w:r>
    </w:p>
    <w:p>
      <w:r>
        <w:t>FR: VD_FINDINFO ML / 2009 / 126 du 21 octobre 2009</w:t>
      </w:r>
    </w:p>
    <w:p>
      <w:r>
        <w:t>IT: VD_FINDINFO ML / 2009 / 126 del 21 ottobre 2009</w:t>
      </w:r>
    </w:p>
    <w:p>
      <w:pPr>
        <w:pStyle w:val="Heading2"/>
      </w:pPr>
      <w:r>
        <w:t>Regeste</w:t>
      </w:r>
    </w:p>
    <w:p>
      <w:r>
        <w:t>OBJET DU RECOURS, FRAIS JUDICIAIRES, DÉPENS | 62 al. 1 OELP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TFJC, par analogie ; Tarif des frais judiciaires en matière civile du 4 décembre 1984, RSV 270.11.5), que l'intimée a droit à des dépens de deuxième instance (art. 62 al. 1 OELP, Ordonnance sur les émoluments perçus en application de la loi fédérale sur la poursuite pour dettes et la faillite du 23 septembre 1996, RS 281.35) , fixés à 200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