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109 vom 28. September 2009</w:t>
      </w:r>
    </w:p>
    <w:p>
      <w:r>
        <w:t>VD Tribunal cantonal, 2009-09-28, FR</w:t>
      </w:r>
    </w:p>
    <w:p>
      <w:r>
        <w:rPr>
          <w:b/>
        </w:rPr>
        <w:t xml:space="preserve">Quelle: </w:t>
      </w:r>
      <w:r>
        <w:t>https://mcp.opencaselaw.ch/entscheid/vd_findinfo_ML___2009___109</w:t>
      </w:r>
    </w:p>
    <w:p>
      <w:r>
        <w:t>FR: VD_FINDINFO ML / 2009 / 109 du 28 septembre 2009</w:t>
      </w:r>
    </w:p>
    <w:p>
      <w:r>
        <w:t>IT: VD_FINDINFO ML / 2009 / 109 del 28 settembre 2009</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28.09.2009 ML / 2009 / 109</w:t>
      </w:r>
    </w:p>
    <w:p>
      <w:r>
        <w:t>DÉCISION D'IRRECEVABILITÉ, OBLIGATION DE CHIFFRER LES CONCLUSIONS | 17 CPC, 461 CPC, 58 al. 1 LVLP</w:t>
      </w:r>
    </w:p>
    <w:p>
      <w:r>
        <w:t>TRIBUNAL CANTONAL 317 Cour des poursuites et faillites ________________________________________________ Arrêt du 28 septembre 2009 ______________________ Présidence de   M. Hack , vice-président Juges : Mme   Carlsson et M. Sauterel Greffier : Mme   Debétaz Ponnaz ***** Art. 58 al. 1 LVLP, 17 et 461 CPC Vu le prononcé rendu le 4 mai 2009, à la suite de l'audience du 30 avril 2009, par le Juge de paix du district de Nyon, prononçant la mainlevée définitive, à concurrence de 3'505 fr. plus intérêt au taux de 5 % l'an dès le 19 décembre 2008, sous déduction de 500 fr. valeur au 2 mars 2009, de 500 fr. valeur au 2 avril 2009 et de 500 fr. valeur au 27 avril 2009, de l'opposition formée par W.________ , à Gingins, à la poursuite n° 4'129'883 de l'Office des poursuites et faillites de Nyon-Rolle exercée contre lui à l'instance de la société U.________SA , à Bruxelles, vu le recours formé par le poursuivi par actes des 12 et 18 mai 2009, vu le prononcé motivé adressé pour notification aux parties le 9 juin 2009; attendu que le recours peut être formé dans le délai de demande de motivation (art. 54 al. 3 LVLP- loi vaudoise d'application de la loi fédérale sur la poursuite pour dettes et la faillite; RSV 280.05), lequel est de dix jours dès la réception du dispositif (art. 54 al. 1 LVLP), qu'en l'espèce, par lettre du 12 mai 2009, soit dans le délai de demande de motivation, le poursuivi a demandé au juge de paix de tenir compte d'un certain versement dans "[son] prononcé définitif", qu'interpellé par le juge, le poursuivi a indiqué, le 18 mai 2009, que cette lettre constituait un recours, que le recours a ainsi été exercé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W.________, par courrier recommandé du 28 juillet 2009, et lui a imparti un délai au 10 août 2009 pour le refaire en précisant ses conclusions et notamment le montant exact - en chiffres - qu'il contestait ou reconnaissait devoir, faute de quoi le recours pourrait être déclaré irrecevable, que, le 7 août 2009, l'intéressé a adressé à la cour de céans un nouvel acte de recours, dans lequel il a allégué avoir payé "4'000 fr. et 2 x 500 fr. (selon documents annexés)" et a indiqué attendre de "savoir précisément et sans aucune contestation ultérieure possible" le montant qu'il restait devoir, pour en effectuer le virement, que cet acte ne comporte ainsi aucune conclusion ni aucun moyen de recours reconnaissable contre la décision de mainlevée en cause, que, faute de comporter des conclusions conformes aux exigences des règles de procédure, le recours est irrecevable et doit être écarté, qu'en outre, les pièces produites avec le recours qui n'ont pas été soumises au premier juge sont irrecevables, l'administration de preuves nouvelles étant interdite en deuxième instance en matière de mainlevée d'opposition (art. 58 al. 3 LVLP), que, cependant, si des paiements sont intervenus depuis la décision de mainlevée, il en sera tenu compte par l'office des poursuites, que le poursuivi peut s'adresser à cet office afin de connaître le montant, tous frais et intérêts compris, qu'il doit encore verser pour régler sa dette et éviter la continuation de la poursuite par voie de saisie, que le présent arrêt est rendu sans frais. Par ces motifs, la Cour des poursuites et faillites du Tribunal cantonal, statuant à huis clos en sa qualité d'autorité de recours en matière sommaire de poursuites, prononce : I. Le recours est écarté. II. L'arrêt, rendu sans frais, est exécutoire. L e président : L a greffi ère : Du 28 septembre 2009 L'arrêt qui précède, dont la rédaction a été approuvée à huis clos, prend date de ce jour. Il est notifié, par l'envoi de photocopies, à : ‑      M. W.________, ‑      Me Baudouin Dunand, avocat (pour U.________SA).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