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2025 / 99 vom 11. Oktober 2024</w:t>
      </w:r>
    </w:p>
    <w:p>
      <w:r>
        <w:t>VD Tribunal cantonal, 2024-10-11, FR</w:t>
      </w:r>
    </w:p>
    <w:p>
      <w:r>
        <w:rPr>
          <w:b/>
        </w:rPr>
        <w:t xml:space="preserve">Quelle: </w:t>
      </w:r>
      <w:r>
        <w:t>https://mcp.opencaselaw.ch/entscheid/vd_findinfo_Jug___2025___99</w:t>
      </w:r>
    </w:p>
    <w:p>
      <w:r>
        <w:t>FR: VD_FINDINFO Jug / 2025 / 99 du 11 octobre 2024</w:t>
      </w:r>
    </w:p>
    <w:p>
      <w:r>
        <w:t>IT: VD_FINDINFO Jug / 2025 / 99 del 11 ottobre 2024</w:t>
      </w:r>
    </w:p>
    <w:p>
      <w:pPr>
        <w:pStyle w:val="Heading2"/>
      </w:pPr>
      <w:r>
        <w:t>Regeste</w:t>
      </w:r>
    </w:p>
    <w:p>
      <w:r>
        <w:t>VOL{DROIT PÉNAL}, INFRACTION D'IMPORTANCE MINEURE, VIOLATION DE DOMICILE | 172ter ad 139 ch. 1 CP, 186 CP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l’appel doit être admis et le jugement entrepris réformé en ce sens que l’appelante est exemptée de toute peine, les frais de procédure de première instance étant laissés à la charge de l’Etat. Vu l’issue de la cause, les frais d’appel, par 990 fr. (art. 21 al. 1 TFIP [tarif des frais de procédure et indemnités en matière pénale du 28 septembre 2010 ; BLV 312.03.1]), seront laissés à la charge de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