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85 vom 13. Februar 2025</w:t>
      </w:r>
    </w:p>
    <w:p>
      <w:r>
        <w:t>VD Tribunal cantonal, 2025-02-13, FR</w:t>
      </w:r>
    </w:p>
    <w:p>
      <w:r>
        <w:rPr>
          <w:b/>
        </w:rPr>
        <w:t xml:space="preserve">Quelle: </w:t>
      </w:r>
      <w:r>
        <w:t>https://mcp.opencaselaw.ch/entscheid/vd_findinfo_Jug___2025___85</w:t>
      </w:r>
    </w:p>
    <w:p>
      <w:r>
        <w:t>FR: VD_FINDINFO Jug / 2025 / 85 du 13 février 2025</w:t>
      </w:r>
    </w:p>
    <w:p>
      <w:r>
        <w:t>IT: VD_FINDINFO Jug / 2025 / 85 del 13 febbraio 2025</w:t>
      </w:r>
    </w:p>
    <w:p>
      <w:pPr>
        <w:pStyle w:val="Heading2"/>
      </w:pPr>
      <w:r>
        <w:t>Regeste</w:t>
      </w:r>
    </w:p>
    <w:p>
      <w:r>
        <w:t>RÉVISION{DÉCISION}, DÉCISION D'IRRECEVABILITÉ | 410 al. 1 let. a CPP (CH), 412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Dans cette hypothèse, la demande de révision n’est soumise à aucun délai (art. 411 al. 2 CPP). Les demandes de révision doivent être motivées et adressées par écrit à la juridiction d’appel, les motifs de révision devant être exposés et justifiés dans la demande (art. 411 al. 1 CPP). La procédure de révision est classiquement divisée en deux étapes : la première, appelée le rescindant ;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La procédure du rescindant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(TF 6B_206/2024 du 5 juin 2024 consid. 1.1.2 ; TF 6B_1422/2022 du 10 avril 2024 consid. 3.2 ; TF 6B_394/2023 du 5 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w:t>
      </w:r>
    </w:p>
    <w:p>
      <w:r>
        <w:rPr>
          <w:b/>
        </w:rPr>
        <w:t>E. 1.3</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w:t>
      </w:r>
    </w:p>
    <w:p>
      <w:r>
        <w:rPr>
          <w:b/>
        </w:rPr>
        <w:t>E. 2</w:t>
      </w:r>
    </w:p>
    <w:p>
      <w:r>
        <w:t>A l’appui de sa demande de révision, le requérant conteste avoir conduit un motocycle sans le permis requis. Il explique qu’il aurait seulement poussé un scooter pour essayer de le faire démarrer et produit cinq témoignages écrits qui confirment ses déclarations. Le requérant explique également qu’il aurait été stressé lors de son interpellation, qu’il n’aurait pas été en état de répondre aux questions et qu’il se serait mal exprimé en déclarant à la police qu’il avait « roulé avec un motocycle léger d’un ami ». Les témoignages sur lesquels s’appuie le requérant ne contiennent toutefois aucun élément nouveau. J.________ a en effet déjà expliqué avoir fait une course d’essai sur la route pour tenter de démarrer le scooter. Il a en outre admis qu’après avoir poussé le motocycle, il s’y était « installé » pour le faire démarrer dans une légère descente. S’il estimait que son comportement n’était pas punissable, il lui appartenait de faire opposition à l’ordonnance pénale. Partant, faute de faits ou moyens de preuve nouveaux au sens de l’art. 410 al. 1 let. a CPP, la requête est irrecevable.</w:t>
      </w:r>
    </w:p>
    <w:p>
      <w:r>
        <w:rPr>
          <w:b/>
        </w:rPr>
        <w:t>E. 3</w:t>
      </w:r>
    </w:p>
    <w:p>
      <w:r>
        <w:t>Il résulte de ce qui précède que la demande de révision déposée par J.________ doit être déclarée irrecevable, sans échange d’écritures (art. 412 al. 2 CPP). Les frais de la procédure de révision, constitués du seul émolument d'arrêt, par 550 fr. (art. 21 al. 1 TFIP [tarif des frais de procédure et indemnités en matière pénale du 28 septembre 2010 ; BLV 312.03.1], par renvoi de l’art. 22 TFIP),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