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51 vom 2. Juli 2021</w:t>
      </w:r>
    </w:p>
    <w:p>
      <w:r>
        <w:t>VD Tribunal cantonal, 2021-07-02, FR</w:t>
      </w:r>
    </w:p>
    <w:p>
      <w:r>
        <w:rPr>
          <w:b/>
        </w:rPr>
        <w:t xml:space="preserve">Quelle: </w:t>
      </w:r>
      <w:r>
        <w:t>https://mcp.opencaselaw.ch/entscheid/vd_findinfo_Jug___2025___51</w:t>
      </w:r>
    </w:p>
    <w:p>
      <w:r>
        <w:t>FR: VD_FINDINFO Jug / 2025 / 51 du 2 juillet 2021</w:t>
      </w:r>
    </w:p>
    <w:p>
      <w:r>
        <w:t>IT: VD_FINDINFO Jug / 2025 / 51 del 2 luglio 2021</w:t>
      </w:r>
    </w:p>
    <w:p>
      <w:pPr>
        <w:pStyle w:val="Heading2"/>
      </w:pPr>
      <w:r>
        <w:t>Regeste</w:t>
      </w:r>
    </w:p>
    <w:p>
      <w:r>
        <w:t>DÉCISION DE RENVOI, FIXATION DE LA PEINE, LOI FÉDÉRALE SUR LES STUPÉFIANTS ET LES SUBSTANCES PSYCHOTROPES, EXPULSION{DROIT PÉNAL} | 47 CP, 66a al. 1 let. o CP, 107 LTF</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l’appel de N.________ et l’appel joint du Ministère public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3.2</w:t>
      </w:r>
    </w:p>
    <w:p>
      <w:r>
        <w:t>Dans son arrêt de renvoi, le Tribunal fédéral a retenu que l’imputation du numéro de téléphone français +33 [...]77 à l’appelante, alors que de nombreuses personnes non identifiées étaient impliquées dans ce trafic, reposait uniquement sur des éléments qui ne ressortaient pas du dossier ou des aveux de K.________ interprétés comme des affirmations, alors qu'elles faisaient naître un doute ("doit être"). Ainsi, la cour cantonale avait échoué à démontrer une appréciation exempte d'arbitraire. L'accusation n'avait en effet pas apporté les éléments de preuve suffisants pour imputer le numéro de téléphone litigieux à la recourante pour les cas 1, 3, 4, 8, 12 et 13 de l’acte d’accusation, ainsi que pour les cas 2, 5, 6 et 14 de l’acte d’accusation. Partant, le jugement attaqué devait être annulé et la cause renvoyée à la cour cantonale pour nouvelle décision.</w:t>
      </w:r>
    </w:p>
    <w:p>
      <w:r>
        <w:rPr>
          <w:b/>
        </w:rPr>
        <w:t>E. 3.3</w:t>
      </w:r>
    </w:p>
    <w:p>
      <w:r>
        <w:t>Les indices énumérés dans le précédent jugement de la Cour de céans (cf. jgmt du 3 octobre 2023, spéc. p. 23) l’avaient convaincue de la culpabilité de la prévenue. Toutefois, au vu de la position du Tribunal fédéral, l’appelante doit être libérée, en plus des cas 7, 10, 11, 20 et 21 de l’acte d’accusation, des cas 1, 2, 3, 4, 5, 6, 8, 12, 13 et 14 de l’acte d’accusation (cf. ch. 2.1.1, 2.1.2, 2.1.3, 2.1.4, 2.1.5, 2.1.6, 2.1.8, 2.1.12, 2.1.13 et 2.1.14 supra).</w:t>
      </w:r>
    </w:p>
    <w:p>
      <w:r>
        <w:rPr>
          <w:b/>
        </w:rPr>
        <w:t>E. 4</w:t>
      </w:r>
    </w:p>
    <w:p>
      <w:r>
        <w:t>Les condamnations de l’appelante dans les cas 9, 15, 16, 17, 18 et 19 de l’acte d’accusation (ch. 2.1.9, 2.1.15, 2.1.16, 2.1.17, 2.1.18 et 2.1.19 supra) ne sont pas contestées. Elles portent sur un total de 18'321 kg de cocaïne brute. En se basant sur les taux de pureté moyens des années concernées, soit 46% et 55%, ainsi que sur l’analyse de la cocaïne saisie en possession de J.________ qui a révélé des taux de pureté moyens compris entre 29.5% et 81.8%, soit en définitive un taux de pureté moyen de l’ordre de 50%, cela représente quelque 9,160 kg de drogue pure au total.</w:t>
      </w:r>
    </w:p>
    <w:p>
      <w:r>
        <w:rPr>
          <w:b/>
        </w:rPr>
        <w:t>E. 5.1</w:t>
      </w:r>
    </w:p>
    <w:p>
      <w:r>
        <w:t>L’appelante conclut à une peine privative de liberté qui ne saurait excéder 4 ans. Elle soutient que les faits pour lesquels elle doit être condamnée correspondraient en définitive aux faits qu’elle a admis et corroboreraient ses explications concernant les raisons pour lesquelles elle les a commis et leur contexte. Il y aurait désormais lieu de retenir sa version des faits, de sorte que son énergie criminelle n’aurait plus rien d’extraordinaire, que sa culpabilité ne serait plus évidente, que rien ne démontrerait qu’elle ait pu jouer un rôle organisationnel et qu’elle se serait en définitive bornée à des opérations de transport dans les circonstances douloureuses qu’elle expliquait.</w:t>
      </w:r>
    </w:p>
    <w:p>
      <w:r>
        <w:rPr>
          <w:b/>
        </w:rPr>
        <w:t>E. 5.2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122 IV 299 consid. 2c ; ATF 121 IV 193 consid. 2b/aa ; TF 6B_1036/2022 du 15 mai 2023 consid. 3.1).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précité consid. 3.1 ; TF 6B_757/2022 du 26 octobre 2022 consid. 2.2 ; TF 6B_1493/2021 du 20 juin 2022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6B_1237/2023 du 13 mars 2024 consid. 1.3.1).</w:t>
      </w:r>
    </w:p>
    <w:p>
      <w:r>
        <w:rPr>
          <w:b/>
        </w:rPr>
        <w:t>E. 5.3</w:t>
      </w:r>
    </w:p>
    <w:p>
      <w:r>
        <w:t>On ne saurait soutenir, avec l’appelante, que c’est sa version des faits qui devrait être retenue, notamment au sujet des motifs de son activité. En effet, la thèse de l’appelante qui aurait été contrainte de rembourser une dette liée à un vol de drogue dont on l'accuserait à tort ne repose sur rien. Elle n’a été présentée que dans un deuxième temps (PV aud. 10, R. 14), l’appelante ayant, dans un premier temps, refusé de répondre à toutes questions (PV aud. 9). Il ne fait aucun doute que l’appelante était l’instigatrice des livraisons faites par K.________ et J.________. En effet, ces deux mules ont expliqué de manière crédible et convaincante avoir été recrutées par l’appelante. Les surnoms utilisés la présentent comme une personne d'autorité (« big sis », par exemple) et en prison, elle se comporte en leader dans sa cellule. Elle ne parle pas. Elle est bien loin de l'émotion et de la sincérité de K.________ qui s'est résolue, après beaucoup de silences et de pleurs, à admettre les faits d'abord niés puis minimisés, vu les preuves qui lui étaient montrées, en expliquant avoir peur de l’appelante qui sait où vit sa famille. J.________ a également indiqué avoir peur de l’appelante qui la traumatisait. Celle-ci a dès lors manifestement une forte personnalité, est décrite comme une personne d'autorité et est crainte. Elle a certes elle-même joué un rôle dans le transport, mais elle a eu la liberté de s'organiser en faisant appel à de la sous-traitance. Son rôle organisationnel ne fait donc pas de doute. Pour le surplus, la culpabilité de l’appelante est lourde. A charge, il y a lieu de retenir que le trafic de cocaïne porte sur des quantités importées très importantes. L’appelante a organisé six transports internationaux entre octobre 2017 et mars 2018. Elle se comportait comme une cadre d'une entreprise bien organisée, tirant profit de la soumission, voire de la précarité de la situation des mules. Sa position hiérarchique était au-dessus de celle de ces dernières mais sans doute inférieure à celle des dirigeants qui définissaient les orientations stratégiques, puisqu'elle avait elle-même participé à un bout de transport. Elle a agi par appât du gain, puisqu'elle n'était pas elle-même toxicomane. Il y a également lieu de tenir compte des aggravantes de l’art. 19 al. 2 let. a et b (quantité et bande). L’appelante, qui n'a guère manifesté de regrets ou de remords et qui persiste à se poser en victime en reportant sur d'autres la responsabilité de ses actes, n'a pas pris la véritable mesure de ses fautes. Les livraisons n’ont pris fin qu’ensuite de l’arrestation des mules et de l’appelante. Enfin, il n’y a aucun élément à décharge. Au vu de ce qui précède, c’est une peine privative de liberté de 8 ans qui doit être prononcée. Cette peine apparaît adéquate, par comparaison avec celle infligée à la mule J.________, qui n’avait pas d’antécédent et qui a été condamnée à une peine privative de liberté de 6,5 ans pour cinq livraisons et du blanchiment d’argent, ou à la mule K.________, qui a été condamnée à une peine privative de liberté de 8 ans, dans le cadre d’une procédure simplifiée, pour seize livraisons, étant précisé qu’elle avait aussi un lourd antécédent.</w:t>
      </w:r>
    </w:p>
    <w:p>
      <w:r>
        <w:rPr>
          <w:b/>
        </w:rPr>
        <w:t>E. 6</w:t>
      </w:r>
    </w:p>
    <w:p>
      <w:r>
        <w:t>Vu la quotité de la peine prononcée, la demande d’indemnité de l’art. 429 al. 1 let. c CPP pour la détention injustifiée de l’appelante est sans objet.</w:t>
      </w:r>
    </w:p>
    <w:p>
      <w:r>
        <w:rPr>
          <w:b/>
        </w:rPr>
        <w:t>E. 7.1</w:t>
      </w:r>
    </w:p>
    <w:p>
      <w:r>
        <w:t>L’appelante estime que le Tribunal criminel a abusé de son pouvoir d'appréciation en l'expulsant pour 15 ans ; selon elle l'expulsion devrait être limitée à 5 ans.</w:t>
      </w:r>
    </w:p>
    <w:p>
      <w:r>
        <w:rPr>
          <w:b/>
        </w:rPr>
        <w:t>E. 7.2</w:t>
      </w:r>
    </w:p>
    <w:p>
      <w:r>
        <w:t>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7.3</w:t>
      </w:r>
    </w:p>
    <w:p>
      <w:r>
        <w:t>En l’espèce, l’appelante est née au Cameroun, a vécu en France et aux Pays-Bas, n'a en revanche jamais vécu en Suisse. En outre, elle n'a aucun lien avec notre pays à part son activité illicite. Aux débats d’appel, l’appelante a indiqué que son mari lui avait trouvé un emploi de femme de ménage en France à sa sortie de prison. Elle a déjà été arrêtée une première fois en Suisse en 2008 dans le cadre d’un trafic de stupéfiants et condamnée à 2 ans avec sursis. En 2012, elle a été condamnée également pour trafic de stupéfiants à 3 ans de prison en Suède. Aux débats d’appel, elle a admis que le trafic auquel elle s’était adonnée pour ces deux cas n’était pas en lien avec d’éventuelles menaces qui lui auraient été faites. Ses déclarations sur ses occupations en Europe sont en outre contradictoires (cf. jgmt, p. 23). L’appelante est donc durablement ancrée dans un mode de vie criminel. Son implication dans le trafic de stupéfiants depuis des années commande de l'éloigner le plus longtemps possible de la Suisse. Il convient dès lors de confirmer la durée de l’expulsion à 15 ans.</w:t>
      </w:r>
    </w:p>
    <w:p>
      <w:r>
        <w:rPr>
          <w:b/>
        </w:rPr>
        <w:t>E. 8</w:t>
      </w:r>
    </w:p>
    <w:p>
      <w:r>
        <w:t>Compte tenu de l’acquittement partiel de l’appelante, la moitié des frais de première instance, par 23'379 fr. 85, y compris la moitié de l’indemnité allouée à son défenseur d’office, par 8'953 fr. 35, seront mis à la charge de N.________, le solde étant laissé à la charge de l’Etat. La moitié de l’indemnité allouée à son défenseur d’office sera exigible de la prénommée lorsque sa situation financière le permettra.</w:t>
      </w:r>
    </w:p>
    <w:p>
      <w:r>
        <w:rPr>
          <w:b/>
        </w:rPr>
        <w:t>E. 9</w:t>
      </w:r>
    </w:p>
    <w:p>
      <w:r>
        <w:t>Conformément à l’art. 51 CP, l a détention subie depuis le jugement de première instance doit être déduite de la peine. Le maintien de l’appelante en détention doit être ordonné, pour garantir l’exécution de la peine, vu les risques de fuite et de récidive qu’elle présente, l’intéressée n’ayant aucun statut en Suisse (art. 221 al. 1 let. a et c CPP).</w:t>
      </w:r>
    </w:p>
    <w:p>
      <w:r>
        <w:rPr>
          <w:b/>
        </w:rPr>
        <w:t>E. 10.1</w:t>
      </w:r>
    </w:p>
    <w:p>
      <w:r>
        <w:t>En définitive, l’appel de N.________ doit être partiellement admis et le jugement attaqué réformé aux chiffres I, III et IX de son dispositif dans le sens des considérants qui précèdent. L’appel joint du Ministère public doit être rejeté. Vu l’issue de la cause, les frais de la procédure d’appel antérieure à l’arrêt fédéral du 19 avril 2023 seront mis par un quart, soit par 1'714 fr. 50, à la charge de la prévenue, le solde étant laissé à la charge de l’Etat. L’appelante sera tenue de rembourser un quart de l’indemnité allouée à son défenseur d’office lorsque sa situation financière le permettra (art. 135 al. 4 let. a CPP).</w:t>
      </w:r>
    </w:p>
    <w:p>
      <w:r>
        <w:rPr>
          <w:b/>
        </w:rPr>
        <w:t>E. 10.2</w:t>
      </w:r>
    </w:p>
    <w:p>
      <w:r>
        <w:t>Une indemnité de défenseur d’office pour la procédure d’appel postérieure à l’arrêt du Tribunal fédéral du 19 avril 2023, d’un montant de 2'304 fr. 35, TVA et débours inclus, est allouée à Me Ludovic Tirelli. Les frais de la procédure d’appel postérieure à l’arrêt fédéral précité, par 6’304 fr. 35, constitués de l’émolument de jugement, par 4'000 fr. (art. 21 al. 1 et 2 TFIP), et de l’indemnité d’office allouée à Me Ludovic Tirelli, par 2'304 fr. 35, sont laissés à la charge de l’Etat.</w:t>
      </w:r>
    </w:p>
    <w:p>
      <w:r>
        <w:rPr>
          <w:b/>
        </w:rPr>
        <w:t>E. 10.3</w:t>
      </w:r>
    </w:p>
    <w:p>
      <w:r>
        <w:t>Pour la procédure d’appel postérieure à l’arrêt du Tribunal fédéral du 20 septembre 2024, Me Ludovic Tirelli a produit une liste des opérations faisant état de 6h30 d’activité d’avocat breveté. Cette durée est un peu trop élevée. Le temps consacré à la rédaction de la lettre du 28 octobre 2024, soit 40 minutes, doit être réduit à 10 minutes, vu son contenu, l’appelante ayant requis que la procédure soit traitée en la forme écrite. Il convient également de retrancher 20 minutes pour le temps consacré par une collaboratrice de l’étude à une analyse juridique de la procédure écrite, cette activité ne s’inscrivant pas raisonnablement dans le cadre de l’accomplissement de la tâche du défenseur d’office. Enfin, le temps consacré le 17 janvier 2024 par la même collaboratrice à la rédaction (« complétion projet ») des déterminations, soit 50 minutes, ne peut pas être pris en compte, dès lors que le temps consacré à la rédaction de ces déterminations par le défenseur d’office, soit 2 heures, est déjà largement comptabilisé. En définitive, c’est une indemnité de 959 fr. 30, correspondant à 4h50 d’activité nécessaire d’avocat breveté au tarif horaire de 180 fr., soit à 870 fr. d’honoraires, plus 17 fr. 40 de débours (2% des honoraires), plus 71 fr. 90 de TVA (8,1 %), qui sera allouée à Me Ludovic Tirelli. Les frais de la procédure d’appel postérieure à l’arrêt du Tribunal fédéral du 20 septembre 2024, par 3'599 fr. 30, constitués de l’émolument de jugement, par 2'640 fr. (art. 21 al. 1 et 2 TFIP), et de l’indemnité d’office allouée à Me Ludovic Tirelli, par 959 fr. 30,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