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424 vom 14. März 2025</w:t>
      </w:r>
    </w:p>
    <w:p>
      <w:r>
        <w:t>VD Tribunal cantonal, 2025-03-14, FR</w:t>
      </w:r>
    </w:p>
    <w:p>
      <w:r>
        <w:rPr>
          <w:b/>
        </w:rPr>
        <w:t xml:space="preserve">Quelle: </w:t>
      </w:r>
      <w:r>
        <w:t>https://mcp.opencaselaw.ch/entscheid/vd_findinfo_Jug___2025___424</w:t>
      </w:r>
    </w:p>
    <w:p>
      <w:r>
        <w:t>FR: VD_FINDINFO Jug / 2025 / 424 du 14 mars 2025</w:t>
      </w:r>
    </w:p>
    <w:p>
      <w:r>
        <w:t>IT: VD_FINDINFO Jug / 2025 / 424 del 14 marzo 2025</w:t>
      </w:r>
    </w:p>
    <w:p>
      <w:pPr>
        <w:pStyle w:val="Heading2"/>
      </w:pPr>
      <w:r>
        <w:t>Regeste</w:t>
      </w:r>
    </w:p>
    <w:p>
      <w:r>
        <w:t>ADMISSION PARTIELLE, ATTÉNUATION DE LA PEINE, HOMICIDE PAR NÉGLIGENCE, CAUSALITÉ ADÉQUATE, DILIGENCE | 117 CP, 34 CP, 42 al. 1 CP, 44 al. 1 CP, 47 CP, 48 CP</w:t>
      </w:r>
    </w:p>
    <w:p>
      <w:pPr>
        <w:pStyle w:val="Heading2"/>
      </w:pPr>
      <w:r>
        <w:t>Erwägungen</w:t>
      </w:r>
    </w:p>
    <w:p>
      <w:r>
        <w:rPr>
          <w:b/>
        </w:rPr>
        <w:t>E. 5.1</w:t>
      </w:r>
    </w:p>
    <w:p>
      <w:r>
        <w:t>Concluant à son acquittement, l’appelant ne conteste pas la peine. Celle-ci doit néanmoins être revue d’office.</w:t>
      </w:r>
    </w:p>
    <w:p>
      <w:r>
        <w:rPr>
          <w:b/>
        </w:rPr>
        <w:t>E. 5.2.1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6B_1403/2021 du 9 juin 2022 consid. 5.1, non publié à l’ATF 148 I 295).</w:t>
      </w:r>
    </w:p>
    <w:p>
      <w:r>
        <w:rPr>
          <w:b/>
        </w:rPr>
        <w:t>E. 5.2.2</w:t>
      </w:r>
    </w:p>
    <w:p>
      <w:r>
        <w:t>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 ATF 133 IV 158 consid. 8). Le caractère raisonnable de la durée d'une procédure s'apprécie suivant les circonstances de la cause, lesquelles commandent généralement une évaluation globale (ATF 143 IV 373 consid. 1.3.1).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 3.2 ; ATF 124 I 139 consid. 2c ; TF 6B_406/2022 du 31 août 2022 consid. 3.1.1 et les réf. cit.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 les réf. cit.). Il s'agit d'une exigence à l'égard des autorités pénales, qui se distingue de la circonstance atténuante du temps relativement long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 ultima ratio dans les cas les plus extrêmes (ATF 143 IV 373 consid. 1.4.1 ; ATF 135 IV 12 consid. 3.6 ; TF 6B_170/2020 du 15 décembre 2020 consid. 1.1 ; TF 6B_203/2019 du 10 avril 2019 consid. 3.1).</w:t>
      </w:r>
    </w:p>
    <w:p>
      <w:r>
        <w:rPr>
          <w:b/>
        </w:rPr>
        <w:t>E. 5.3</w:t>
      </w:r>
    </w:p>
    <w:p>
      <w:r>
        <w:t>Le premier juge a considéré que malgré les conséquences particulièrement graves de ses actes, la culpabilité de l’appelant, qui s’est rendu coupable d’homicide par négligence, était modérée, la faute tenant au fait d’avoir omis d’imposer à la nouvelle équipe dont il avait la charge – et qui s’est montrée réticente aux nouvelles règles – l’injonction émise par la direction d’assurer une présence constante lors des bains de résidents présentant des risques avérés pour cette activité, injonction dont il était lui-même convaincu de sa nécessité, compte tenu notamment du premier décès survenu dans les mêmes circonstances dans le groupe auquel il était précédemment rattaché. Il pensait avoir trouvé un moyen de concilier les intérêts de son équipe et ceux concernant la sécurité des résidents en validant provisoirement le compromis d’une surveillance n’impliquant pas une présence continue. Il avait fait preuve d’introspection et s’était montré particulièrement affecté par les événements. L’autorité précédente a atténué la peine en application de l’art. 48 let. e CP, relevant que sept ans s’étaient écoulés depuis les faits, que l’intéressé avait démissionné de son poste peu après les faits pour reprendre un emploi dans le même domaine, mais sans responsabilités, qu’aucun nouvel événement tragique n’avait été déploré depuis, que ses états de service avaient par ailleurs été excellents sur l’ensemble de sa carrière et qu’il atteindrait prochainement l’âge de la retraite, de sorte que l’intérêt à punir avait sensiblement diminué. Les éléments de la culpabilité développés par le premier juge sont adéquats et peuvent être confirmés par adoption de motifs (art. 82 al. 4 CPP ; jugement querellé, pp. 61-62). La peine pécuniaire de 60 jours-amende à 40 fr. le jour, avec sursis pendant deux ans, paraît adéquate, sous réserve de ce qui suit. Il y a en effet lieu de constater que la procédure, qui a été ouverte en novembre 2018, n’a fait l’objet d’aucune mesure d’instruction en 2021 et en 2022 et que plusieurs mois se sont souvent écoulés sans que rien ne soit entrepris dans cette affaire et sans que ces retards ne puissent être imputés à l’appelant. Dans ces conditions, et au vu notamment de la gravité de l’infraction en cause, le principe de célérité a été violé par le Ministère public et il se justifie d’atténuer la peine à 40 jours-amende, le montant du jour-amende restant le même, à savoir 40 francs. Les conditions du sursis étant réalisées, il sera accordé.</w:t>
      </w:r>
    </w:p>
    <w:p>
      <w:r>
        <w:rPr>
          <w:b/>
        </w:rPr>
        <w:t>E. 6</w:t>
      </w:r>
    </w:p>
    <w:p>
      <w:r>
        <w:t>En définitive, l’appel doit être partiellement admis et le jugement querellé modifié dans le sens du considérant qui précède. Il n’y a pas lieu de modifier la répartition des frais de première instance, l’appelant obtenant gain de cause uniquement sur un point accessoire, à savoir la violation du principe de célérité. Vu l’issue de la cause, les frais de la procédure d’appel, constitués de l’émolument de jugement et d’audience, par 2’900 fr., seront mis par trois quarts à la charge de X.________, soit par 2'175 fr., le solde, par 725 fr., étant laissé à la charge de l’Etat. X.________ obtenant partiellement gain de cause, une indemnité de 1'000 fr., fondée sur l'art. 429 CPP, sera allouée à son défenseur, Me Inès Feldmann,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