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411 vom 18. Juli 2025</w:t>
      </w:r>
    </w:p>
    <w:p>
      <w:r>
        <w:t>VD Tribunal cantonal, 2025-07-18, FR</w:t>
      </w:r>
    </w:p>
    <w:p>
      <w:r>
        <w:rPr>
          <w:b/>
        </w:rPr>
        <w:t xml:space="preserve">Quelle: </w:t>
      </w:r>
      <w:r>
        <w:t>https://mcp.opencaselaw.ch/entscheid/vd_findinfo_Jug___2025___411</w:t>
      </w:r>
    </w:p>
    <w:p>
      <w:r>
        <w:t>FR: VD_FINDINFO Jug / 2025 / 411 du 18 juillet 2025</w:t>
      </w:r>
    </w:p>
    <w:p>
      <w:r>
        <w:t>IT: VD_FINDINFO Jug / 2025 / 411 del 18 luglio 2025</w:t>
      </w:r>
    </w:p>
    <w:p>
      <w:pPr>
        <w:pStyle w:val="Heading2"/>
      </w:pPr>
      <w:r>
        <w:t>Regeste</w:t>
      </w:r>
    </w:p>
    <w:p>
      <w:r>
        <w:t>DÉTENTION POUR DES MOTIFS DE SÛRETÉ, MESURE DE SUBSTITUTION À LA DÉTENTION, RISQUE DE FUITE, SÛRETÉS | 221 al. 1 let. b CPP (CH), 233 CPP (CH), 237 CPP (CH), 238 CPP (CH)</w:t>
      </w:r>
    </w:p>
    <w:p>
      <w:pPr>
        <w:pStyle w:val="Heading2"/>
      </w:pPr>
      <w:r>
        <w:t>Erwägungen</w:t>
      </w:r>
    </w:p>
    <w:p>
      <w:r>
        <w:rPr>
          <w:b/>
        </w:rPr>
        <w:t>E. 1</w:t>
      </w:r>
    </w:p>
    <w:p>
      <w:r>
        <w:t>Aux termes de l'art. 233 CPP (Code de procédure pénale suisse du 5 octobre 2007 ; RS 312.0), la direction de la procédure de la juridiction d'appel statue dans les cinq jours sur les demandes de libération, la décision n’étant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(Moreillon/Parein-Reymond, Petit commentaire, Code de procédure pénale, 3 e éd., Bâle 2025, n. 4 ad art. 233 CPP). L’autorité investie de la direction de la procédure est le président du tribunal, s’agissant d’une procédure devant un tribunal collégial (art. 61 let. c CPP), soit en l’occurrence la Présidente de la Cour de céans.</w:t>
      </w:r>
    </w:p>
    <w:p>
      <w:r>
        <w:rPr>
          <w:b/>
        </w:rPr>
        <w:t>E. 2.1</w:t>
      </w:r>
    </w:p>
    <w:p>
      <w:r>
        <w:t>Le requérant expose que, dans sa précédente décision, l'autorité de céans n'a pas instruit la question des sûretés qu'il proposait de consigner. Il relève, preuve à l'appui, que son père est disposé à mettre à disposition une somme de 50'000 fr. afin de garantir qu'il se présentera aux actes de procédure et qu'il se soumettra à l'exécution d'une sanction privative de liberté. Il indique qu'il résulte de la doctrine unanime que lorsque seul un risque de fuite est en cause, l'autorité se doit d'envisager une caution aussitôt que possible, que le montant qu'il propose est proportionné à la gravité des actes qui lui sont reprochés et qu'il a déjà effectué près de 28 mois de détention, soit l'essentiel de la peine prévisible compte tenu des réquisitions du Ministère public en première instance. Enfin, le requérant expose être disposé à se soumettre à d'autres mesures de substitution à la détention, soit la remise de ses documents d'identité à l'autorité, le prononcé d'une interdiction de quitter le territoire suisse, l'interdiction de pénétrer dans un périmètre donné, l'interdiction de prendre contact et/ou d'approcher l'ensemble des protagonistes de la présente affaire, l'obligation de se présenter à intervalles réguliers auprès d'une autorité, ou encore une assignation à domicile – sauf durant les horaires de travail – avec surveillance électronique.</w:t>
      </w:r>
    </w:p>
    <w:p>
      <w:r>
        <w:rPr>
          <w:b/>
        </w:rPr>
        <w:t>E. 2.2</w:t>
      </w:r>
    </w:p>
    <w:p>
      <w:r>
        <w:t>;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consid. 3.1).</w:t>
      </w:r>
    </w:p>
    <w:p>
      <w:r>
        <w:rPr>
          <w:b/>
        </w:rPr>
        <w:t>E. 2.2.1</w:t>
      </w:r>
    </w:p>
    <w:p>
      <w:r>
        <w:t>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w:t>
      </w:r>
    </w:p>
    <w:p>
      <w:r>
        <w:rPr>
          <w:b/>
        </w:rPr>
        <w:t>E. 2.2.2</w:t>
      </w:r>
    </w:p>
    <w:p>
      <w:r>
        <w:t>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w:t>
      </w:r>
    </w:p>
    <w:p>
      <w:r>
        <w:rPr>
          <w:b/>
        </w:rPr>
        <w:t>E. 2.2.3</w:t>
      </w:r>
    </w:p>
    <w:p>
      <w:r>
        <w:t>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w:t>
      </w:r>
    </w:p>
    <w:p>
      <w:r>
        <w:rPr>
          <w:b/>
        </w:rPr>
        <w:t>E. 2.2.4</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w:t>
      </w:r>
    </w:p>
    <w:p>
      <w:r>
        <w:rPr>
          <w:b/>
        </w:rPr>
        <w:t>E. 2.3</w:t>
      </w:r>
    </w:p>
    <w:p>
      <w:r>
        <w:t>En l'espèce, la condition liée à l’existence de soupçons suffisants de culpabilité est réalisée, dès lors que V.________, qui est détenu sous le régime de l’exécution anticipée de peine, a été condamné en première instance, pour lésions corporelles graves et rixe, à une peine privative de liberté de 36 mois.</w:t>
      </w:r>
    </w:p>
    <w:p>
      <w:r>
        <w:rPr>
          <w:b/>
        </w:rPr>
        <w:t>E. 2.3.1</w:t>
      </w:r>
    </w:p>
    <w:p>
      <w:r>
        <w:t>Dans sa décision précédente, l'autorité de céans a considéré qu'il existait un risque de fuite. D'origine kosovare, V.________ était né en 2001 au Kosovo. Il avait vécu et avait grandi entre ce pays et la Croatie, Etat dont il avait également obtenu la nationalité. Il avait déclaré qu’il était arrivé en Suisse en 2022 après avoir fait une demande pour rejoindre sa famille qui y vivait déjà, son père ayant fait des aller-retours entre la Suisse et le Kosovo depuis une dizaine d’années. Il avait fondé en Suisse une entreprise dans le domaine de la construction qu’il avait dû fermer à la suite de son incarcération. Avant celle-ci, il vivait chez son père et son revenu était de 12'500 fr. par mois en moyenne. Il n’avait aucune économie, ayant tout investi dans son entreprise. Sa famille proche, à savoir son père, sa mère et son frère, ainsi que ses oncles paternels vivaient en Suisse. Il était père d’un enfant né en mai 2022 qui vivait en Suisse avec sa mère dont il était séparé. Ainsi, V.________ ne résidait en Suisse que depuis une année et demie avant son incarcération survenue le 20 juin 2023 et il ne vivait pas avec sa famille avant son arrivée dans ce pays à l’âge de 21 ans. Il avait manifestement dû conserver des liens importants avec le Kosovo, où il avait acquis une maison. Il avait en outre ses oncles maternels qui y vivaient. Par ailleurs, les premiers juges avaient prononcé son expulsion du territoire suisse pour une durée de cinq ans, mesure qui était exécutoire. Ses attaches avec la Suisse devaient du reste être mises en balance avec le fait que la partie plaignante avait requis en appel que les faits qui lui étaient reprochés soient qualifiés de tentative de meurtre, crime passible d’une peine privative de liberté de cinq ans au moins. A ce stade de la procédure et dès lors que les faits reprochés étaient graves, il ne pouvait être exclu que l’appel de la partie plaignante aboutisse à une condamnation plus sévère. V.________ était ainsi exposé à une peine privative de liberté supérieure à celle prononcée par les premiers juges. Dans ces circonstances, il était sérieusement à craindre qu’en cas de sortie de détention, celui-ci tente de se soustraire aux débats d’appel et à l’exécution du solde éventuel de sa peine privative de liberté. On pouvait par ailleurs douter que la présence de ses parents et de son fils en Suisse suffise à le retenir. Ces considérations, qui ne sont du reste pas contestées, demeurent d'actualité. Les conditions de la détention pour des motifs de sûreté de V.________ sont donc réalisées. Il reste à examiner si les mesures de substitution proposées sont suffisantes pour pallier le risque retenu.</w:t>
      </w:r>
    </w:p>
    <w:p>
      <w:r>
        <w:rPr>
          <w:b/>
        </w:rPr>
        <w:t>E. 2.3.2</w:t>
      </w:r>
    </w:p>
    <w:p>
      <w:r>
        <w:t>En l'occurrence, si le risque de fuite de V.________ demeure concret pour les motifs qui viennent d'être rappelés, il convient également de constater que l'intensité de ce risque peut être quelque peu relativisée par le fait que toute sa famille proche vit dans le canton de Vaud, notamment son fils, la mère de celui-ci ainsi que ses parents. A cela s'ajoute que le prévenu semble avoir fait preuve d'une certaine collaboration, puisqu'il s'est rendu à la police alors qu'il aurait déjà pu s’enfuir à l’étranger. En outre, même si le fait qu'il serait éligible à la libération conditionnelle si la peine prononcée à son encontre était définitive et exécutoire n'entre pas en ligne de compte au stade de l'examen de la détention avant jugement, reste que le Ministère public n'a pas interjeté appel contre la peine prononcée par les premiers juges et qu'on ne saurait faire dépendre le sort de la détention de l'intéressé du résultat – incertain – de l'appel de la partie plaignante. Dans ces circonstances, le risque de fuite étant d'une intensité relative, on peut admettre que certaines des mesures de substitution proposées par le requérant sont aptes et suffisantes à le dissuader de fuir ou de se soustraire à la procédure pénale, respectivement à la peine susceptible d'être prononcée. Il en va notamment ainsi des sûretés de 50'000 fr. proposées. Ce montant est adéquat compte tenu de la gravité des actes reprochés au prévenu et paraît propre à garantir sa présence aux débats d’appel ainsi que l’exécution d’un solde de peine privative de liberté. Toutefois, afin de contenir de manière efficace le risque de fuite, V.________ devra également déposer l'ensemble des documents lui permettant de voyager à l'étranger (passeports, cartes d'identité et autres permis de séjour ou d'établissement) en mains du Tribunal cantonal. Quant aux autres mesures de substitution proposées, elles n'apparaissent pas nécessaires en l'espèce, un risque de réitération n'apparaissant pas concret et un risque de collusion n'étant plus à envisager vu l'objet de l'appel.</w:t>
      </w:r>
    </w:p>
    <w:p>
      <w:r>
        <w:rPr>
          <w:b/>
        </w:rPr>
        <w:t>E. 3.1</w:t>
      </w:r>
    </w:p>
    <w:p>
      <w:r>
        <w:t>En définitive, les conditions de la détention pour des motifs de sûreté de V.________ demeurent réalisées. Toutefois, en lieu et place de la détention, des mesures de substitution seront ordonnées telles que listées dans le considérant qui précède. V.________ sera ainsi relaxé dès que celui-ci aura déposé l'ensemble des documents lui permettant de voyager (passeports, cartes d'identité et autres permis de séjour ou d'établissement), ainsi qu'une sûreté de 50'000 fr., en mains du Tribunal cantonal.</w:t>
      </w:r>
    </w:p>
    <w:p>
      <w:r>
        <w:rPr>
          <w:b/>
        </w:rPr>
        <w:t>E. 3.2</w:t>
      </w:r>
    </w:p>
    <w:p>
      <w:r>
        <w:t>Vu l’issue de la cause, les frais du présent prononcé, par 810 fr. (art. 21 al. 1 TFIP [tarif des frais de procédure et indemnités en matière pénale du 28 septembre 2010 ; BLV 312.03.1]), seront laissés à la charge de l'Etat.</w:t>
      </w:r>
    </w:p>
    <w:p>
      <w:r>
        <w:rPr>
          <w:b/>
        </w:rPr>
        <w:t>E. 3.3</w:t>
      </w:r>
    </w:p>
    <w:p>
      <w:r>
        <w:t>V.________, qui a procédé avec l’assistance d’un avocat de choix et qui a obtenu gain de cause, a le droit, de la part de l’Etat, à une indemnité pour les dépenses occasionnées par l’exercice raisonnable de ses droits dans le cadre de la procédure. Celle-ci sera toutefois examinée dans le cadre de l’appel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