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392 vom 30. September 2024</w:t>
      </w:r>
    </w:p>
    <w:p>
      <w:r>
        <w:t>VD Tribunal cantonal, 2024-09-30, FR</w:t>
      </w:r>
    </w:p>
    <w:p>
      <w:r>
        <w:rPr>
          <w:b/>
        </w:rPr>
        <w:t xml:space="preserve">Quelle: </w:t>
      </w:r>
      <w:r>
        <w:t>https://mcp.opencaselaw.ch/entscheid/vd_findinfo_Jug___2025___392</w:t>
      </w:r>
    </w:p>
    <w:p>
      <w:r>
        <w:t>FR: VD_FINDINFO Jug / 2025 / 392 du 30 septembre 2024</w:t>
      </w:r>
    </w:p>
    <w:p>
      <w:r>
        <w:t>IT: VD_FINDINFO Jug / 2025 / 392 del 30 settembre 2024</w:t>
      </w:r>
    </w:p>
    <w:p>
      <w:pPr>
        <w:pStyle w:val="Heading2"/>
      </w:pPr>
      <w:r>
        <w:t>Regeste</w:t>
      </w:r>
    </w:p>
    <w:p>
      <w:r>
        <w:t>CONSTATATION DES FAITS, ACTE D'ORDRE SEXUEL SUR UN INCAPABLE DE DISCERNEMENT, FRAIS DE LA PROCÉDURE, INDEMNITÉ{EN GÉNÉRAL}, ACQUITTEMENT | 191 CP, 10 CPP (CH), 426 al. 2 CPP (CH), 429 al. 1 let. b CPP (CH), 429 al. 1 let. c CPP (CH)</w:t>
      </w:r>
    </w:p>
    <w:p>
      <w:pPr>
        <w:pStyle w:val="Heading2"/>
      </w:pPr>
      <w:r>
        <w:t>Erwägungen</w:t>
      </w:r>
    </w:p>
    <w:p>
      <w:r>
        <w:rPr>
          <w:b/>
        </w:rPr>
        <w:t>E. 1.1</w:t>
      </w:r>
    </w:p>
    <w:p>
      <w:r>
        <w:t>Interjetés dans les formes et délais légaux (art. 399 CPP [Code de procédure pénale suisse du 5 octobre 2007 ; RS 312.0]), par des parties qui ont qualité pour recourir (art. 382 al. 1 CPP), contre le jugement d’un tribunal de première instance ayant clos la procédure (art. 398 al. 1 CPP), l’appel d’E.________ et celui de F.________ sont recevables.</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 II. Appel de F.________ Il convient de traiter d’abord l’appel de F.________, dès lors qu’elle requiert la condamnation d’E.________.</w:t>
      </w:r>
    </w:p>
    <w:p>
      <w:r>
        <w:rPr>
          <w:b/>
        </w:rPr>
        <w:t>E. 3.1</w:t>
      </w:r>
    </w:p>
    <w:p>
      <w:r>
        <w:t>L’appelante soutient que les premiers juges auraient retenu à raison qu’elle se trouvait en incapacité de résistance au sens de l’art. 191 CP en raison de son alcoolisation, qu’elle ne souhaitait pas de relation sexuelle, qu’il y avait eu un acte sexuel non-consenti et que l’intimé était parfaitement à même de comprendre son comportement, mais qu’ils auraient retenu à tort l’absence d’intention de l’intimé en application du principe in dubio pro reo . Elle reproche aux premiers juges d’avoir omis de prendre en considération un élément de fait, à savoir qu’à l’arrivé à l’Ecole [...], elle était partie en direction de l’escalier descendant pour se rendre machinalement dans sa chambre et que ce se serait l’intimé qui l’avait dirigé vers sa propre chambre, en ayant clairement l’intention d’avoir des relations sexuelles avec elle et en étant parfaitement conscient que celle-ci n’était pas capable d’y résister et du fait qu’il profitait de la situation, à tout le moins par dol éventuel. L’intimé aurait en effet dû déshabiller l’appelante qui était somnolente sur son lit et sans réaction. Par conséquent, il n’y aurait pas de place à l’application du principe in dubio pro reo et l’élément subjectif de l’art. 191 CP devrait être considéré comme réalisé, ce qui devrait conduire à la condamnation de l’intimé.</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 Kistler Vianin, ibid., nn. 19 ss ad art. 398 CPP et les références citées). Les déclarations de la victime constituent un élément de preuve. Le juge doit, dans l'évaluation globale de l'ensemble des éléments probatoires rassemblés au dossier, les apprécier librement (TF 6B_632/2024 du 4 avril 2025 consid. 1.1.3 ; TF 6B_631/2024 du 31 mars 2025 consid. 2.1.3 ; TF 6B_964/2023 du 17 avril 2024 consid. 2.3.1 non publié à l’ATF 150 IV 121), sous réserve des cas particuliers où une expertise de la crédibilité des déclarations de la victime s'impose (cf. ATF 129 IV 179 consid. 2.4).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6B_632/2024 précité consid. 1.1.3 ; TF 6B_887/2024 du 2 avril 2025 consid. 2.1 ; TF 6B_631/2024 précité consid. 2.1.3).</w:t>
      </w:r>
    </w:p>
    <w:p>
      <w:r>
        <w:rPr>
          <w:b/>
        </w:rPr>
        <w:t>E. 3.2.2</w:t>
      </w:r>
    </w:p>
    <w:p>
      <w:r>
        <w:t>Selon l’art. 191 aCP,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Son but est de protéger les personnes qui ne sont pas en état d'exprimer ou de manifester physiquement leur opposition à l'acte sexuel. A la différence de la contrainte sexuelle (art. 189 aCP) et du viol (art. 190 aCP), la victime est incapable de discernement ou de résistance, non en raison d'une contrainte exercée par l'auteur, mais pour d'autres causes (TF 6B_737/2022 du 1 er mai 2023 consid. 4.1 et la réf. cit.). L'art. 191 aCP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 TF 6B_737/2022 précité et la réf. cit.). L'art. 191 aCP exige que l'auteur ait profité de l'incapacité de discernement ou de résistance de l'intimée, autrement dit qu'il ait exploité l'état ou la situation dans laquelle elle se trouvait (ATF 148 IV 329 consid. 3.2, JdT 2023 IV 200). Cela ne signifie pas que tous les actes d'ordre sexuel commis sur une personne incapable de discernement ou de résistance soient punissables. L'infraction n'est ainsi pas réalisée si c'est la victime qui a pris l'initiative des actes sexuels ou si elle y a librement consenti (TF 6B_1083/2014 du 9 juillet 2015 consid. 3.4 et les réf. cit.). Sur le plan subjectif, l'art. 191 aCP requiert l'intention, étant précisé que le dol éventuel suffit (TF 6B_1247/2023 du 10 juin 2024 consid. 2.1.3 et les réf. cit.).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du 5 décembre 2022 consid. 2.1 et les réf. cit.). Déterminer ce qu'une personne a su, envisagé, voulu ou accepté relève des constatations de fait (ATF 142 IV 137 consid. 12 ; ATF 141 IV 369 consid. 6.3).</w:t>
      </w:r>
    </w:p>
    <w:p>
      <w:r>
        <w:rPr>
          <w:b/>
        </w:rPr>
        <w:t>E. 3.3</w:t>
      </w:r>
    </w:p>
    <w:p>
      <w:r>
        <w:t>En l’espèce, l’appelante se trompe lorsqu’elle soutient que les éléments objectifs de l’art. 191 aCP seraient réalisés. En effet, les faits retenus dans l’acte d’accusation ne permettent pas de retenir que l’appelante était incapable de discernement ou de résistance. On relèvera à cet égard que l’appelante s’est opposée à deux reprises aux actes du prévenu lorsqu’ils étaient dans la chambre de celui-ci. En effet, l’acte d’accusation retient les faits suivants : Le prévenu a alors commencé à l’embrasser, ce à quoi elle a dit « non, je suis trop fatiguée, je veux rentrer chez moi » ; par la suite, l’appelante s’est à nouveau opposée au prévenu : « Le prévenu a placé ses mains autour de sa taille afin de l’attirer vers lui et la faire asseoir à ses côtés. Il l’a à nouveau embrassée sur la bouche, ce à quoi la plaignante a dit « non », « c’est pas bien » et répété qu’elle était fatiguée ». En revanche, l’acte d’accusation ne retient pas qu’entre cette dernière opposition de l’appelante et l’acte sexuel reproché au prévenu, celle-ci ait sombré dans l’inconscience, respectivement qu’elle n’était plus en état d'exprimer ou de manifester physiquement son opposition à l'acte sexuel. On ne saurait dès lors admettre que l’appelante était incapable de discernement ou de résistance. Partant, les conditions d’application de l’art. 191 aCP ne sont pas réunies. Par surabondance, on relèvera encore que l’appelante ne soutient pas avoir été violée. Elle a indiqué que le prévenu ne l’avait pas forcée et qu’elle n’avait pas bougé, ni crié, ni appelé à l’aide, ajoutant qu’elle ne pensait pas que le prévenu savait ou qu’il était conscient du fait qu’elle ne voulait pas (cf. jugement, p. 16). Au vu de l’ensemble des éléments qui précèdent, la libération de l’appelant du chef d'accusation d'actes d'ordre sexuel commis sur une personne incapable de discernement ou de résistance doit être confirmée.</w:t>
      </w:r>
    </w:p>
    <w:p>
      <w:r>
        <w:rPr>
          <w:b/>
        </w:rPr>
        <w:t>E. 3.7</w:t>
      </w:r>
    </w:p>
    <w:p>
      <w:r>
        <w:t>p. 250 ; TF 4A_342/2020 du 29 juin 2021 consid. 7.1.2). La causalité adéquate est une question de droit que le Tribunal fédéral revoit librement (ATF 143 III 242 consid. 3.7 p. 250).</w:t>
      </w:r>
    </w:p>
    <w:p>
      <w:r>
        <w:rPr>
          <w:b/>
        </w:rPr>
        <w:t>E. 4</w:t>
      </w:r>
    </w:p>
    <w:p>
      <w:r>
        <w:t>L’acquittement étant confirmé, les conclusions civiles réclamées par l’appelante doivent être rejetées. III Appel d’E.________</w:t>
      </w:r>
    </w:p>
    <w:p>
      <w:r>
        <w:rPr>
          <w:b/>
        </w:rPr>
        <w:t>E. 6.1</w:t>
      </w:r>
    </w:p>
    <w:p>
      <w:r>
        <w:t>L'appelant conteste sa participation aux frais de procédure. Il fait valoir que le jugement laisserait planer le soupçon d’un comportement condamnable malgré son acquittement, ce qui violerait la présomption d'innocence. Par ailleurs, il ne saurait lui être reproché d’avoir eu un comportement civilement répréhensible. Partant, l’imputation de la moitié des frais de procédure à l’appelant violerait les art. 426 al. 2 CPP et 6 par. 2 CEDH.</w:t>
      </w:r>
    </w:p>
    <w:p>
      <w:r>
        <w:rPr>
          <w:b/>
        </w:rPr>
        <w:t>E. 6.2</w:t>
      </w:r>
    </w:p>
    <w:p>
      <w:r>
        <w:t>Aux termes de l’art. 426 CPP, le prévenu supporte les frais de procédure s’il est condamné. Font exception les frais afférents à la défense d’office ;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Ib ; ATF 116 la 162 consid. 2c ; TF 6B_429/2017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 (ATF 112 la 371 consid. 2a ; TF 7B_35/2022 précité ; TF 6B_987/2023 précité ; TF 7B_18/2023 du 24 août 2023 consid. 3.1.1).</w:t>
      </w:r>
    </w:p>
    <w:p>
      <w:r>
        <w:rPr>
          <w:b/>
        </w:rPr>
        <w:t>E. 6.3</w:t>
      </w:r>
    </w:p>
    <w:p>
      <w:r>
        <w:t>En l’espèce, les premiers juges ont considéré que le comportement que l’appelant avait adopté envers F.________ était non seulement civilement critiquable, mais totalement irrespectueux. C’était bien son comportement négligent, peu à l’écoute de sa partenaire, qui avait donné lieu à l’ouverture de l’action pénale. Dès lors que les deux parties se connaissaient à peine et vu l’état de fatigue et d’alcoolémie de sa partenaire, il appartenait au prévenu de se montrer plus « gentleman » et de raccompagner la victime chez elle, en remettant à plus tard son envie d’entretenir une relation sexuelle avec cette jeune femme qui lui plaisait. Force était de constater que le prévenu avait fait passer ses besoins personnels en premier, sans s’interroger sur ceux de sa partenaire. Ainsi, une partie des frais devaient être mis à sa charge, à raison d’une moitié. Le raisonnement des premiers juges ne peut être suivi. Dans la mesure où l’acquittement est ici confirmé, il ne peut y avoir une condamnation aux frais qui ne violerait pas le principe de la présomption d’innocence. On ne saurait en effet justifier la mise à la charge de l’appelant d’une partie des frais de la procédure en se fondant sur un comportement moralement répréhensible. Les faits reprochés à l’appelant ne constituent pas une violation claire d’une norme de comportement résultant de l’ordre juridique suisse. En conséquence, il ne se justifie pas de faire supporter à l’appelant les frais de procédure en lien avec les faits dénoncés. Celui-ci doit ainsi être libéré de l’intégralité des frais de première instance, qui doivent être laissés à la charge de l’Etat. Ce faisant, l’appelant ne devra pas rembourser la moitié des indemnités allouées en première instance à son défenseur d’office et au conseil juridique gratuit de F.________, dites indemnités étant intégralement laissées à la charge de l’Etat. L’appel doit donc être admis sur ces points.</w:t>
      </w:r>
    </w:p>
    <w:p>
      <w:r>
        <w:rPr>
          <w:b/>
        </w:rPr>
        <w:t>E. 7.1</w:t>
      </w:r>
    </w:p>
    <w:p>
      <w:r>
        <w:t>L’appelant sollicite l’allocation d’une indemnité de 25'368 fr. 50 à titre de préjudice économique subi au sens de l’art. 429 al. 1 let. b CPP. Il soutient qu’il existerait un lien de causalité entre la procédure pénale et son exclusion de l’Ecole [...]. Il aurait ainsi perdu l’intégralité des frais de scolarité déjà versés, montant non remboursé en vertu des termes et conditions de paiement de cette école. Il sollicite en outre l’allocation d’une indemnité de 3'000 fr. à titre de réparation du préjudice moral au sens de l’art. 429 al. 1 let. c CPP, au vu des conséquences psychologiques lourdes de cette affaire. Outre l’exclusion de son école, et bien que son nom n’ait pas été mentionné dans les médias, il aurait été identifié aisément au sein de la communauté scolaire par ses pairs et les membres du corps enseignant et étiqueté par ses camarades comme le « violeur de [...] », ce qui aurait entraîné une stigmatisation sociale particulièrement violente, qui l’aurait profondément affecté. Il aurait en outre tenté de mettre fin à ces jours. Actuellement, il ne se serait toujours pas rétabli psychologiquement de cette épreuve.</w:t>
      </w:r>
    </w:p>
    <w:p>
      <w:r>
        <w:rPr>
          <w:b/>
        </w:rPr>
        <w:t>E. 7.2.1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p. 239 s.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(TF 6B_691/2021 du 5 avril 2022 consid. 3.1.1 ; TF 6B_278/2021 du 2 novembre 2021 consid. 1.2.2 ; TF 6B_707/2020 du 28 octobre 2020 consid. 1.1 ; TF 6B_928/2014 du 10 mars 2016 consid. 4.1.1, non publié aux ATF 142 IV 163, et les références citées). L'évaluation du dommage économique se fait en application des règles générales en matière de responsabilité civile (art. 41 ss CO ; ATF 142 IV 237 consid. 1.3.1 p. 239 s.; TF 6B_691/2021 du 5 avril 2022 consid. 3.1.1; TF 6B_928/2014 du 10 mars 2016 consid. 4.1.2, non publié aux ATF 142 IV 163). Le droit à des dommages-intérêts fondés sur l'art. 429 al. 1 let. b CPP suppose en outre l'existence d'un lien de causalité adéquat entre le dommage subi et la procédure pénale (TF 6B_691/2021 du 5 avril 2022 consid. 3.1.1 ; TF 6B_707/2020 du 28 octobre 2020 consid. 1.1; TF 6B_280/2019 du 19 mai 2020 consid. 2.2 ; TF 6B_928/2014 du 10 mars 2016 consid. 4.1.2, non publié aux ATF 142 IV 163). Un fait est la cause naturelle d'un résultat dommageable s'il en constitue l'une des conditions sine qua non ; il n'est pas nécessaire que l'événement considéré soit la cause unique ou immédiate du résultat. Le constat d'un lien de causalité naturelle relève du fait. Il y a causalité adéquate lorsque le comportement incriminé était propre, d'après le cours ordinaire des choses et l'expérience générale de la vie, à entraîner un résultat du genre de celui qui s'est produit (ATF 143 III 242 consid. 3.7 p. 249 s. et les références citées).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(ATF 143 III 242 consid. 3.7 p. 249 s.; cf. également TF 4A_337/2018 du 9 mai 2019 consid. 4.1.1).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(ATF 143 III 242 consid.</w:t>
      </w:r>
    </w:p>
    <w:p>
      <w:r>
        <w:rPr>
          <w:b/>
        </w:rPr>
        <w:t>E. 7.2.2</w:t>
      </w:r>
    </w:p>
    <w:p>
      <w:r>
        <w:t>L'art. 429 al. 1 let.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 Afin d'avoir droit à l'indemnité visée par l'art. 429 al. 1 let. c CPP, l'intensité de l'atteinte à la personnalité doit être analogue à celle requise dans le contexte de l'art. 49 CO (ATF 143 IV 339 consid. 3.1 p. 341).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341 s. ; TF 6B_361/2018 du 15 juin 2018 consid. 7.1).</w:t>
      </w:r>
    </w:p>
    <w:p>
      <w:r>
        <w:rPr>
          <w:b/>
        </w:rPr>
        <w:t>E. 7.3.1</w:t>
      </w:r>
    </w:p>
    <w:p>
      <w:r>
        <w:t>S’agissant d’abord des frais d’écolage de l’Ecole [...], que l’appelant soutient avoir perdu en raison de son expulsion prétendument liée à cette affaire pénale, on relèvera que celui-ci n’établit pas avoir payé de sa poche l’écolage ou s’être endetté. Il n’y aurait donc pas de diminution de son patrimoine, respectivement de dommage. On ajoutera que l’appelant n’établit pas un lien de causalité entre son expulsion et l’affaire pénale. Si on se reporte à la décision de l’Ecole [...] du 24 février 2020 (P. 3 du bordereau des déterminations de l’appelant du 24 mai 2024), on voit que la direction de cette école reproche à l’appelant, depuis plusieurs mois, un comportement violent et récurrent, qui lui a valu un avertissement formel le 4 novembre 2019, soit avant les faits litigieux, qui remontent au mois de janvier 2020. L’affaire pénale a certes eu une influence, mais rien ne permet de dire qu’elle est causale à la décision de l’école. On peut d’ailleurs s’étonner du fait que l’appelant n’ait pas contesté cette décision en faisant appel, comme le lui permet l’art.</w:t>
      </w:r>
    </w:p>
    <w:p>
      <w:r>
        <w:rPr>
          <w:b/>
        </w:rPr>
        <w:t>E. 7.3.2</w:t>
      </w:r>
    </w:p>
    <w:p>
      <w:r>
        <w:t>S’agissant ensuite du tort moral qu’aurait subi l’appelant, celui-ci n’établit pas avoir subi des souffrances particulières. Une attestation de ses parents ne suffit pas. En outre, son nom n’est pas cité dans l’article de presse qui relaie l’affaire. Au demeurant, l’appelant a bénéficié des services d’un avocat dès sa première audition, ce qui a permis d’atténuer l’effet de la procédure pénale dirigée contre lui. Par conséquent, il ne se justifie pas d’allouer à l’appelant une indemnité à titre de réparation du préjudice moral au sens de l’art. 429 al. 1 let. c CPP.</w:t>
      </w:r>
    </w:p>
    <w:p>
      <w:r>
        <w:rPr>
          <w:b/>
        </w:rPr>
        <w:t>E. 7.3.3</w:t>
      </w:r>
    </w:p>
    <w:p>
      <w:r>
        <w:t>Au vu de l’ensemble des éléments qui précèdent, les moyens de l’appelant doivent être rejetés. IV. Conclusions 8. En définitive, l’appel d’E.________ doit être partiellement admis et les chiffres V et VII du dispositif du jugement attaqué réformés dans le sens des considérants qui précèdent. L’appel de F.________ doit être rejeté. Au vu de la liste des opérations produites par le défenseur d’office d’E.________, dont il n’y a pas lieu de s’écarter, c’est une indemnité de 2'679 fr. 35, correspondant à 13h30 d’activité nécessaire d’avocat breveté au tarif horaire de 180 fr., montant auquel il convient d’ajouter des débours forfaitaires à concurrence de 2% (art. 3bis al. 1 RAJ [règlement du 7 décembre 2010 sur l'assistance judiciaire en matière civile ; BLV 211.02.3], applicable par renvoi de l’art. 26b TFIP) des honoraires, par 48 fr. 60, et la TVA au taux de 8,1 % sur le tout, par 200 fr. 75, qui doit lui être allouée. F.________ n’a pas sollicité l’assistance judiciaire gratuite pour la procédure d’appel, de sorte qu’il n’y a pas lieu d’indemniser son conseil, Me Philippe Dal Col, étant rappelé que l’assistance judiciaire gratuite pour la partie plaignante et la victime doit faire l’objet d’une nouvelle demande lors de la procédure d’appel (art. 136 al. 3 CPP dans sa teneur au 1er janvier 2024). Vu l’issue de la cause, les frais de la procédure d’appel, constitués en l’espèce de l’émolument de jugement, par 1'980 fr. (art. 20 al. 1 TFIP [tarif des frais de procédure et indemnités en matière pénale du 28 septembre 2010 ; BLV 312.03.1]), seront mis par moitié à la charge d’E.________ et par moitié à la charge de F.________, soit par 990 fr. chacun. E.________ supportera en plus la moitié de l’indemnité allouée à son défenseur d’office, par 1'339 fr. 70. En équité, il sera renoncé à mettre la moitié de l’indemnité allouée au défenseur d’office d’E.________ à la charge de F.________, dite moitié étant laissée à la charge de l’Etat. E.________ sera tenu de rembourser à l’Etat la moitié de l’indemnité allouée en faveur de son défenseur d'office dès que sa situation financière le permettra (art. 135 al. 4 let. a CPP).</w:t>
      </w:r>
    </w:p>
    <w:p>
      <w:r>
        <w:rPr>
          <w:b/>
        </w:rPr>
        <w:t>E. 12</w:t>
      </w:r>
    </w:p>
    <w:p>
      <w:r>
        <w:t>du règlement de l’école, alors qu’il contestait – à juste titre – avoir agressé sexuellement une étudiante de son école. Au vu de l’ensemble de ces éléments, il ne se justifie pas d’allouer à l’appelant une indemnité à titre de préjudice économique subi au sens de l’art. 429 al. 1 let. b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