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390 vom 3. März 2025</w:t>
      </w:r>
    </w:p>
    <w:p>
      <w:r>
        <w:t>VD Tribunal cantonal, 2025-03-03, FR</w:t>
      </w:r>
    </w:p>
    <w:p>
      <w:r>
        <w:rPr>
          <w:b/>
        </w:rPr>
        <w:t xml:space="preserve">Quelle: </w:t>
      </w:r>
      <w:r>
        <w:t>https://mcp.opencaselaw.ch/entscheid/vd_findinfo_Jug___2025___390</w:t>
      </w:r>
    </w:p>
    <w:p>
      <w:r>
        <w:t>FR: VD_FINDINFO Jug / 2025 / 390 du 3 mars 2025</w:t>
      </w:r>
    </w:p>
    <w:p>
      <w:r>
        <w:t>IT: VD_FINDINFO Jug / 2025 / 390 del 3 marzo 2025</w:t>
      </w:r>
    </w:p>
    <w:p>
      <w:pPr>
        <w:pStyle w:val="Heading2"/>
      </w:pPr>
      <w:r>
        <w:t>Regeste</w:t>
      </w:r>
    </w:p>
    <w:p>
      <w:r>
        <w:t>MEURTRE, TENTATIVE{DROIT PÉNAL}, VIOLENCE CONTRE LES AUTORITÉS, EXPULSION{DROIT PÉNAL}, LOI FÉDÉRALE SUR LA CIRCULATION ROUTIÈRE | 19 al. 2 CP, 22 ad 111 CP, 285 ch. 1 CP, 46 al. 1 CP, 47 CP, 49 al. 1 CP, 66a al. 1 let. a CP, 31 al. 1 LCR, 90 al. 1 LCR, 91 al. 2 LCR, 95 al. 1 let. a LCR</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A.L.________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relève que les nouvelles déclarations écrites authentifiées d’R.________, K.________ et B.L.________ produites le 5 septembre 2025 remettent en cause la validité des précédentes déclarations, autour desquelles toute l’instruction avait été menée. Il requiert dès lors que toutes les précédentes déclarations des personnes précitées soient retirées du dossier, conservées à part jusqu’à la clôture définitive de la procédure, puis détruites. Il ajoute que ses propres déclarations doivent subir le même sort, dès lors qu’il a été induit en erreur pas les déclarations erronées précitées. Afin de garantir le respect du principe de double degré de juridiction, il requiert en outre que le jugement de première instance soit annulé et que le dossier soit retourné au Ministère public pour complément d’instruction. Subsidiairement, il requiert l’audition en qualité de témoins de ses parents. Par ailleurs, il requiert encore la mise en œuvre d’une expertise médico-légale visant notamment à établir dans quelles circonstances les faits ont été commis, à déterminer sa responsabilité au moment des faits et à examiner la probabilité d’un risque mortel pour la victime.</w:t>
      </w:r>
    </w:p>
    <w:p>
      <w:r>
        <w:rPr>
          <w:b/>
        </w:rPr>
        <w:t>E. 3.2.1</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 Les organes de l'Etat et les particuliers doivent agir de manière conforme aux règles de la bonne foi (art. 5 al. 3 Cst.).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Le principe de la bonne foi et son corollaire, l'interdiction de l'abus de droit, s'opposent notamment à ce qu'une partie invoque tardivement un vice de procédure, si elle s'est accommodée de la violation d'une prescription légale dont elle connaissait le sens (ZR 2005, n. 32 ; BJP 1973, n. 483 = RSJ 1972, p. 184, n. 74 ; Piquerez/Macaluso, Procédure pénale suisse, 3 e éd., Genève, 2011, pp. 146 ss et les références citées). Il n’y a pas lieu de retrancher des procès-verbaux d'audition en application des règles de la bonne foi, si les requêtes en ce sens sont tardives, notamment lorsque la partie s'est accommodée pendant plusieurs mois, voire plusieurs années, du prétendu vice qu'elle dénonce, ou qu’elle a été entendue entre-temps à plusieurs reprises sans soulever de moyen en relation avec celui-ci (CAPE 7 janvier 2025/41 consid. 3.2.2 et les références citées).</w:t>
      </w:r>
    </w:p>
    <w:p>
      <w:r>
        <w:rPr>
          <w:b/>
        </w:rPr>
        <w:t>E. 3.2.2</w:t>
      </w:r>
    </w:p>
    <w:p>
      <w:r>
        <w:t>Conformément à l’art. 20 CP (Code pénal suisse du 21 décembre 1937 ; RS 311.0),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6B_608/2024 du 17 juillet 2025 consid. 2.1.2).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TF 6B_608/2024 précité consid. 2.1.2).</w:t>
      </w:r>
    </w:p>
    <w:p>
      <w:r>
        <w:rPr>
          <w:b/>
        </w:rPr>
        <w:t>E. 3.3</w:t>
      </w:r>
    </w:p>
    <w:p>
      <w:r>
        <w:t>Il ne se justifie aucunement de retrancher du dossier les précédentes auditions de l’appelant et des membres de sa famille. D’une part, les déclarations écrites produites le 5 septembre 2025 par R.________ sont de pures circonstances et dépourvues de toute crédibilité. Elles sont diamétralement opposées dans leur contenu à toutes les auditions faites durant l’instruction et interviennent postérieurement au jugement de première instance, condamnant le prévenu et, surtout, l’expulsant du territoire suisse pour une durée de 8 ans. D’autre part, les griefs selon lesquels les auditions faites en cours d’enquête seraient entachées de vices doivent être rejetés. L’argument selon lequel R.________ n'aurait pas compris ses droits en raison de l’absence d’un interprète est infondé, celui-ci ayant déclaré, lors de sa première audition, ce qui suit : « j’ai signé mes droits et obligations. Je n’ai pas besoin d’un traducteur » (PV aud. 1, R. 1). Il a ensuite bénéficié de l’aide d’un interprète devant le Ministère public (PV aud. 8, ll. 13-19). A cette occasion, il lui a de nouveau été demandé s’il avait pris connaissance et compris ses droits, ce à quoi il a répondu par l’affirmative (ibid., ll. 24-26). K.________ a été entendue par la police. Elle a indiqué qu’elle n’avait pas besoin d’un interprète et qu’elle avait compris ses droits (PV aud. 2, R. 1 et 2). De plus, les parents de l’appelant vivent en Suisse depuis de très nombreuses années. S’agissant d’B.L.________, il avait presque 14 ans au moment de son audition par la police (PV aud. 3), parle parfaitement le français et était capable de discernement. De manière générale, ces trois témoins ont parfaitement su répondre aux questions qui leur ont été posées, eu égard à la teneur de leurs auditions, de sorte qu’il n’y a pas lieu de retrancher leurs déclarations. Enfin, la réquisition de retranchement est tardive. Les auditions litigieuses ont eu lieu entre le 2 mai et le 18 juillet 2024 et l’appelant ne s’est jamais plaint de la validité de celles-ci avant son courrier du 9 septembre 2025. Il n’y a pas lieu de réentendre les témoins. Le défenseur de l’appelant a pu poser toutes les questions utiles au père de celui-ci, de sorte qu’une nouvelle audition ne se justifie pas. En revanche, il n’a pas été confronté à sa mère. Reste qu’il n’est pas utile de réentendre cette dernière, les faits étant suffisamment établis au regard de l’ensemble des éléments du dossier et, plus particulièrement, du témoignage d’R.________. Enfin, il n’est pas nécessaire d’ordonner une expertise sur les circonstances dans lesquels les faits ont été commis ou sur la probabilité du risque mortel, ces faits pouvant être établis par les éléments du dossier. On sait que l’appelant avait consommé de l’alcool au moment des faits et on connait son alcoolémie. Pour le reste, on ne discerne pas d’autres éléments qui permettraient de douter de la responsabilité pénale de l’intéressé. Il n’y a donc pas lieu d’ordonner d’expertise. Les réquisitions de preuve doivent être rejetées.</w:t>
      </w:r>
    </w:p>
    <w:p>
      <w:r>
        <w:rPr>
          <w:b/>
        </w:rPr>
        <w:t>E. 4.1</w:t>
      </w:r>
    </w:p>
    <w:p>
      <w:r>
        <w:t>L’appelant invoque une constatation erronée des faits. Il expose que les premiers juges ont retenu à tort qu’il avait donné des coups à son père, causant des blessures à celui-ci, alors qu’il aurait uniquement tenté de le frapper, sans y parvenir. L’instruction n’aurait en outre pas permis d’établir qu’il aurait proféré des menaces à l’encontre de son père avant de le faire tomber sur le canapé, ni des menaces sérieuses et répétées. Il souligne que le constat médical établi par le CURML le 3 mai 2024 ne fait état que de quelques lésions trop peu spécifiques pour pouvoir se prononcer sur leur origine. Concernant le bout de verre découvert par la police, l’appelant l’explique par le fait que sur le moment, il avait besoin de casser quelque chose. Il conteste avoir voulu s’en servir contre son père. Il soutient que les déclarations faites à la police dans ce sens ne devaient pas être prises au sérieux et qu’elles avaient été faites sous le coup de la colère.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146 IV 88 consid. 1.3.1 ; ATF 145 IV 154 consid. 1.1).</w:t>
      </w:r>
    </w:p>
    <w:p>
      <w:r>
        <w:rPr>
          <w:b/>
        </w:rPr>
        <w:t>E. 4.3</w:t>
      </w:r>
    </w:p>
    <w:p>
      <w:r>
        <w:t>L’appelant conteste avoir donné des coups qui auraient occasionné des blessures à son père. Dans ses premières déclarations, le père a déclaré que son fils avait « essayé à plusieurs reprises de le frapper au visage avec une main mais qu’il se défendait avec les bras » (PV aud. 1, p. 3). Il a ajouté ne pas savoir s’il avait été touché au visage. Lors de son examen clinique au CHUV, R.________ a confirmé que son fils l’avait poussé au niveau du torse, de ses deux mains, le faisant chuter contre un canapé et qu’en se rattrapant sur ce canapé, il s’était blessé le bras droit au niveau d’un accoudoir qui s’était brisé ; le prévenu s’était alors mis à cheval sur lui, exerçant une pression avec son bras gauche sur son torse et essayant de le frapper avec son bras droit, la victime expliquant alors qu’elle était parvenue à bloquer les coups de son fils avec son bras gauche (P. 35, p. 2). Il faut ainsi retenir que l’appelant a tenté de frapper son père, sans toutefois l’atteindre au visage, ce qui correspond aux déclarations constantes de la victime à ce sujet. L’appelant conteste avoir proféré des menaces de mort à l’encontre de son père avant l’altercation. On ne peut le suivre sur ce point, les premières menaces étant intervenues avant qu’il pousse son père sur le canapé. B.L.________ a déclaré que, déjà lors de la discussion, son frère avait dit à plusieurs reprises à leur père qu’il allait le poignarder et lui casser le visage (PV aud. 3, R. 5, p. 3). Le frère cadet a en outre précisé que l’appelant avait déjà répété à plusieurs reprises au cours des neuf mois précédents les faits qu’il allait poignarder leur père (ibid., p. 2). L’appelant a lui-même admis avoir menacé de mort son père à plusieurs reprises (PV aud. 4, R. 7). Il s’agissait de menaces graves et sérieuses qui ont effrayé les personnes présentes, ce qui est démontré par l’appel à la police et l’utilisation par le petit frère d’une batte de baseball. Pour le reste, il n’y a pas lieu de s’écarter des éléments retenus par les premiers juges. Les explications de l’appelant selon lesquelles il aurait agi dans le seul but de se protéger, notamment en se munissant d’un bout de verre, ne sont pas crédibles. Les déclarations aux policiers à la suite de la découverte du bout de verre, selon lesquelles il comptait s’en servir pour tuer son père (P. 4, p. 5), s’inscrivent dans la continuité des multiples menaces de mort retenues et c’est en vain que l’appelant soutient que ses déclarations ne devaient pas être prises au sérieux. L’appelant s’est montré agressif avec R.________. Après l’avoir menacé de mort, il l’a poussé sur le canapé, s’est positionné à califourchon sur lui et a tenté de lui donner des coups au niveau du visage, tout en lui appuyant son avant-bras sur le torse ; son père lui a dit, en étant couché, qu’il ne pouvait plus respirer, ce à quoi l’appelant a répondu que ce n’était pas grave, qu’il allait mourir (ibid. ; PV aud. 1, p. 3 ; PV aud. 2, pp. 2-3 ; PV aud. 4, R. 6, p. 5 ; PV aud. 8, ll. 90-91). Ainsi, sous réserve du fait que l’appelant a essayé de frapper la victime au visage sans toutefois y parvenir, les faits doivent être retenus tels qu’ils résultent de l’acte d’accusation.</w:t>
      </w:r>
    </w:p>
    <w:p>
      <w:r>
        <w:rPr>
          <w:b/>
        </w:rPr>
        <w:t>E. 5.1</w:t>
      </w:r>
    </w:p>
    <w:p>
      <w:r>
        <w:t>L’appelant conteste sa condamnation pour tentative de meurtre. La vie de son père n’aurait jamais été mise en danger et il n’aurait pas eu conscience du risque qu’il faisait encourir à celui-ci. Il relève que la victime a eu des difficultés à respirer en raison de sa position dorsale, qu’elle ne se serait pas trouvée dans une position critique et que le fait de s’être mis à califourchon sur son père pendant deux à trois minutes ne pouvait engendrer un risque de mort suffisamment notable. Il soutient encore que si, par impossible, il fallait retenir qu’il avait envisagé le résultat funeste comme possible, il y aurait néanmoins lieu de retenir qu’il avait escompté que ce résultat ne se produirait pas.</w:t>
      </w:r>
    </w:p>
    <w:p>
      <w:r>
        <w:rPr>
          <w:b/>
        </w:rPr>
        <w:t>E. 5.2.1</w:t>
      </w:r>
    </w:p>
    <w:p>
      <w:r>
        <w:t>Aux termes de l'art. 111 CP, quiconque tue une personne intentionnellement est puni d’une peine privative de liberté de cinq ans au moins, en tant que les conditions prévues aux articles 112 à 117 CP ne sont pas réalisées. Selon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119 IV 1 consid. 5a). Peuvent aussi constituer des éléments extérieurs révélateurs, les mobiles de l'auteur et la manière dont il a agi (ATF 133 IV 222 précité consid. 5.3 ; ATF 130 IV 58 consid. 8.4).</w:t>
      </w:r>
    </w:p>
    <w:p>
      <w:r>
        <w:rPr>
          <w:b/>
        </w:rPr>
        <w:t>E. 5.2.2</w:t>
      </w:r>
    </w:p>
    <w:p>
      <w:r>
        <w:t>A teneur de l'art. 129 CP, quiconque, sans scrupules, met autrui en danger de mort imminent, est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Il doit en outre s'agir d'un danger de mort, et non pas seulement d'un danger pour la santé ou l'intégrité corporelle (ATF 133 IV 1 consid. 5).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L'immédiateté disparaît ou s'atténue lorsque s'interposent ou surviennent des actes ou d'autres éléments extérieurs (ATF 106 IV 12 consid. 2a).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Plus le danger connu de l'auteur est grand et moins ses mobiles méritent attention, plus l'absence de scrupules apparaît comme évidente (ATF 107 IV 163 consid. 3 ; TF 6B_418/2021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w:t>
      </w:r>
    </w:p>
    <w:p>
      <w:r>
        <w:rPr>
          <w:b/>
        </w:rPr>
        <w:t>E. 5.3</w:t>
      </w:r>
    </w:p>
    <w:p>
      <w:r>
        <w:t>Avec les premiers juges, il y a lieu d’admettre que l’appelant a tenu pour possible la survenance de la mort de son père et qu’il l’a acceptée, même s’il ne la souhaitait pas forcément. En d’autres termes, l’appelant a sérieusement envisagé la survenance de la mort de son père et s’en est totalement accommodé. A l’époque des faits, R.________ souffrait d’une insuffisance rénale. Il était en attente d’une greffe, prévue en juin 2024, et bénéficiait de trois séances de dialyses par semaine. Il portait une fistule vasculaire au niveau de l’avant-bras droit. Il était faible et ne pouvait se défendre. Il avait également des problèmes respiratoires, ne pouvant plus dormir couché depuis deux ans. S’il dormait couché, R.________ avait la gorge qui se serrait, qui devenait toute sèche, la salive ne passant plus et il s’étouffait (PV aud. 8, ll. 91-95). L’appelant était parfaitement au courant de la maladie et des difficultés de son père. Il a du reste lui-même reconnu, en cours d’instruction, que cela faisait longtemps que son père était affaibli en raison de ses problèmes de santé (PV aud. 4, R. 6, p. 5). De plus, il vivait avec ses parents et n’avait que pu voir que son père ne pouvait plus dormir couché et qu’il devait dormir assis depuis deux ans. Il savait donc que son père pouvait étouffer, alors qu’il était positionné sur lui, appuyant son poids sur son corps. De son côté, l’appelant a expliqué qu’il était un combattant et qu’il pratiquait des sports de combat (PV aud. 9, ll. 74-75). La probabilité d’un décès était ainsi connue de l’appelant et la violation du devoir de prudence a été extrêmement grave. A.L.________ s’est acharné malgré les interventions des membres de sa famille. Ainsi, lorsque son père lui a dit qu’il n’arrivait plus à respirer, l’appelant lui a répondu que ce n’était pas grave et qu’il allait mourir. Il n’a pas cessé ses agissements, mais a écarté sa mère par la force en la repoussant violemment, lorsque celle-ci a tenté de lui ôter le bras qu’il appuyait sur la victime. Il a également poursuivi ses actes alors qu’il entendait sa mère et son frère crier et tenter d’appeler la police. Ce n’est finalement que grâce à l’intervention violente de son frère que le pire a été évité, ce dernier l’ayant frappé sur le sommet du crâne à l’aide d’une batte de baseball. Le fait qu’il n’ait pas parvenu à donner des coups à son père n’est pas pertinent, tout comme le fait que ce dernier n’ait pas été blessé. Il sied également de relever que l’appelant a agi pour des motifs tout à fait futiles. Il a agressé son père, qui était intervenu pour avoir des explications, son fils cadet lui ayant dit en pleurs que A.L.________ l’avait menacé de le taper et de le tuer. R.________ a demandé à l’appelant de sortir de l’appartement. Celui-ci s’est alors mis dans une colère noire, quand bien même l’intervention de son père apparaissait pleinement justifiée. Au regard des éléments précités, l’appelant s’est accommodé du résultat dommageable. Partant, il doit être condamné pour tentative de meurtre, par dol éventuel.</w:t>
      </w:r>
    </w:p>
    <w:p>
      <w:r>
        <w:rPr>
          <w:b/>
        </w:rPr>
        <w:t>E. 6.1</w:t>
      </w:r>
    </w:p>
    <w:p>
      <w:r>
        <w:t>L’appelant requiert une peine plus clémente, relevant avoir présenté de nombreuses excuses à son père et à sa famille, avec qui il entretient désormais de très bonnes relations. Il souligne également son bon comportement en détention.</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w:t>
      </w:r>
    </w:p>
    <w:p>
      <w:r>
        <w:rPr>
          <w:b/>
        </w:rPr>
        <w:t>E. 6.2.3</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 cit.).</w:t>
      </w:r>
    </w:p>
    <w:p>
      <w:r>
        <w:rPr>
          <w:b/>
        </w:rPr>
        <w:t>E. 6.3</w:t>
      </w:r>
    </w:p>
    <w:p>
      <w:r>
        <w:t>La culpabilité de l’appelant est lourde. Il s’en est pris à la vie de son père, souffrant et fragilisé, et ce sans la moindre raison, ne stoppant pas ses agissements malgré les tentatives de ses proches et de sa victime de le raisonner, au point qu’il a fallut que son frère lui assène un coup de batte de baseball pour qu’il mette fin à ses actes. Sa prise de conscience est inexistante. En cours d’instruction, l’appelant n’a cessé de minimiser les faits en déclarant systématiquement que les menaces prononcées n’étaient que des paroles en l’air qui ne devaient pas être prises au sérieux, en mettant ses agissements sur le compte de l’alcool ou en affirmant vouloir se défendre devant son père. En appel, il a changé de version, revenant sur les éléments qu’il avait admis durant la procédure. Il a également prétendu n’avoir aucun problème de violence, ce qui est inquiétant. À charge, on retiendra également le concours d’infractions, puisque l’appelant a commis de nouvelles infractions en matière de circulation routière, alors qu’il avait déjà été condamné et qu’il se trouvait encore dans le délai d’épreuve. De plus, au bénéfice de mesures de substitution, il a persisté dans la voie délictueuse, s’en prenant à un agent de police, et a dû être replacé en détention provisoire en raison du fait qu’il n’avait pas respecté les mesures de substitution ordonnées. À décharge, il y a lieu de retenir une légère diminution de responsabilité pour les faits les plus graves, au vu du taux d’alcool que l’appelant présentait au moment des faits et d’une situation personnelle et matérielle difficile. Son jeune âge au moment des faits peut également être pris en compte. En revanche, son comportement en détention n’est pas particulièrement bon, dès lors qu’il a été sanctionné pour une consommation de cannabis, qu’il a contestée (P. 80). Au regard de l’ensemble de ces éléments, la peine infligée en première instance doit être confirmée, à savoir une peine privative de liberté de 36 mois pour sanctionner l’infraction de tentative de meurtre, à laquelle s’ajoutent 2 mois pour l’infraction de violence ou menace contre les autorités et les fonctionnaires et 4 mois pour les infractions en matière de circulation routière. La peine d’ensemble s’élève donc à 42 mois de privation de liberté. L’appelant ne conteste pas, à juste titre, l’amende de 300 fr., convertible en trois jours de peine privative de liberté de substitution, qui lui a été infligée pour la contravention en matière de circulation routière, ni la révocation du sursis qui lui a été accordé le 26 mai 2023. Cette révocation se justifie en raison de l’absence de prise de conscience de l’appelant et de son comportement alors qu’il venait d’être mis au bénéfice de mesures de substitution.</w:t>
      </w:r>
    </w:p>
    <w:p>
      <w:r>
        <w:rPr>
          <w:b/>
        </w:rPr>
        <w:t>E. 7</w:t>
      </w:r>
    </w:p>
    <w:p>
      <w:r>
        <w:t>Conformément à l’art. 51 CP, la détention subie par A.L.________ depuis le jugement de première instance sera déduite de la peine privative de liberté prononcée. Le maintien en exécution anticipée de peine de l’appelant sera en outre ordonné, vu les risques de fuite et de réitération qu’il présente (art. 221 al. 1 let. a et c CPP).</w:t>
      </w:r>
    </w:p>
    <w:p>
      <w:r>
        <w:rPr>
          <w:b/>
        </w:rPr>
        <w:t>E. 8.1</w:t>
      </w:r>
    </w:p>
    <w:p>
      <w:r>
        <w:t>L’appelant conteste son expulsion. Il fait valoir qu’il est né en Suisse, où vit l’ensemble de ses proches, qu’il avait tout juste 20 ans au moment des faits, qu’il a effectué divers stages et un préapprentissage d’une année depuis la fin de sa scolarité, qu’il n’a aucune attache, ni perspective en Espagne, qu’il a trouvé une entreprise prête à l’engager à sa sortie de détention et qu’il n’a qu’un antécédent en matière de circulation routière.</w:t>
      </w:r>
    </w:p>
    <w:p>
      <w:r>
        <w:rPr>
          <w:b/>
        </w:rPr>
        <w:t>E. 8.2</w:t>
      </w:r>
    </w:p>
    <w:p>
      <w:r>
        <w:t>L’infraction de tentative de meurtre entre dans le catalogue des cas d’expulsions obligatoires (art. 66a al. 1 let. a CP).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146 IV 105 consid. 3.4.2). Pour se prévaloir du droit au respect de sa vie privée au sens de l'art. 8 par. 1 CEDH, l'étranger doit établir l'existence de liens sociaux et professionnels spécialement intenses avec la Suisse, notablement supérieurs à ceux qui résultent d'une intégration ordinaire. Selon la jurisprudence, il n'y a pas lieu d'adopter une approche schématique qui consisterait à présumer, à partir d'une certaine durée de séjour en Suisse, que l'étranger y est enraciné et dispose de ce fait d'un droit de présence dans notre pays. Il convient de procéder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 10 consid. 4.3 ; TF 6B_627/2024 du 8 octobre 2024 consid. 1.2.2). Un séjour légal de dix années suppose en principe une bonne intégration de l'étranger (ATF 149 I 207 consid. 5.3.2 ; ATF 144 I 266 consid. 3.9).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Par ailleurs, un étranger peut se prévaloir de l’art. 8 par. 1 CEDH (et de l’art.</w:t>
      </w:r>
    </w:p>
    <w:p>
      <w:r>
        <w:rPr>
          <w:b/>
        </w:rPr>
        <w:t>E. 8.3</w:t>
      </w:r>
    </w:p>
    <w:p>
      <w:r>
        <w:t>Le meurtre constitue un cas d’expulsion obligatoire et le fait que l’infraction soit demeurée au stade de la tentative ni change rien. Certes l’appelant a un intérêt privé manifeste à pouvoir rester en Suisse, dès lors qu’il y est né, y a suivi sa scolarité et y a toute sa famille. Il affirme vouloir trouver une place d’apprentissage et réussir une formation. Au printemps 2025, il a sollicité une prise en charge pour son addiction à l’alcool (cf. P. 76/1) ainsi qu’un suivi psychiatrique. Il a également produit deux promesses d’engagement. Reste que les faits pour lesquels l’appelant est condamné sont très graves. Il s’en est pris à la vie de son père. Il persiste à contester les faits, respectivement à minimiser ceux-ci, ne démontrant par là aucune remise en question. S’il semble que l’appelant a renoué avec sa famille depuis sa mise en détention, il a lui-même expliqué, en cours d’instruction, ne jamais avoir eu de lien avec celle-ci depuis tout petit (cf. PV aud. 4, p. 3). Par ailleurs, son petit frère a déclaré qu’il avait menacé de poignarder leur père à plusieurs reprises durant les neufs mois précédents les faits. L’appelant n’a en outre aucune formation et s’est toujours montré oisif. Il a mis en échec les mesures de substitution à la détention provisoire en ne respectant pas l’abstinence à l’alcool, en cessant son suivi thérapeutique et en commettant de nouvelles infractions. En Suisse encore, son réseau social est pauvre et principalement constitué de mauvaises fréquentations. Il ne bénéficie pas d’une autorisation d’établissement mais uniquement de séjour. En Espagne, il dispose également d’une autorisation de séjour et parle parfaitement la langue. Force est de constaté que l’intégration de l’appelant dans ce pays ne présente aucune difficulté majeure pour lui. Les membres de sa famille pourront aisément lui rendre visite et entretenir avec lui des liens par le biais des moyens de communications actuels. Ainsi, au vu de l’ensemble des éléments qui précèdent, il apparaît que l’intérêt public à l’expulsion de l’appelant prime son intérêt privé à demeurer en Suisse, de sorte que la mesure doit être confirmée. La durée de 8 ans sera également confirmée, étant donné la gravité des faits, tout comme la renonciation à l’inscription de l’expulsion au fichier SIS. 9. La condamnation et la peine de l’appelant devant être confirmées, il ne peut être entré en matière sur la conclusion de celui-ci tendant à une modification de la répartition des frais judiciaires de première instance. 10. En définitive, l’appel doit être rejeté et le jugement entrepris confirmé. Contrairement à ce qui ressort du dispositif du présent jugement notifié aux parties le 23 septembre 2025, l’avocate Monica Mitrea n’a pas agi en qualité de défenseur d’office de l’appelant mais comme défenseur de choix. Il n’y a dès lors par lieu de lui accorder une indemnité de défenseur d’office, ni d’octroyer à son client une indemnité à forme de l’art. 429 CPP, compte tenu du sort de l’appel. Le dispositif du jugement sera ainsi rectifié d’office à cet égard par la suppression des chiffres V et VII et la modification du chiffre VI, lequel devient le chiffre V. Vu l’issue de la cause, les frais de la procédure d’appel, par 3’450 fr., constitués en l’espèce de l’émolument d’audience et de jugement (art. 21 al. 1 et 2 TFIP [Tarif des frais de procédure et indemnités en matière pénale du 28 septembre 2010, BLV 312.03.1]), seront mis à la charge de A.L.________ (art. 428 al. 1 CPP).</w:t>
      </w:r>
    </w:p>
    <w:p>
      <w:r>
        <w:rPr>
          <w:b/>
        </w:rPr>
        <w:t>E. 13</w:t>
      </w:r>
    </w:p>
    <w:p>
      <w:r>
        <w:t>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