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387 vom 11. Dezember 2024</w:t>
      </w:r>
    </w:p>
    <w:p>
      <w:r>
        <w:t>VD Tribunal cantonal, 2024-12-11, FR</w:t>
      </w:r>
    </w:p>
    <w:p>
      <w:r>
        <w:rPr>
          <w:b/>
        </w:rPr>
        <w:t xml:space="preserve">Quelle: </w:t>
      </w:r>
      <w:r>
        <w:t>https://mcp.opencaselaw.ch/entscheid/vd_findinfo_Jug___2025___387</w:t>
      </w:r>
    </w:p>
    <w:p>
      <w:r>
        <w:t>FR: VD_FINDINFO Jug / 2025 / 387 du 11 décembre 2024</w:t>
      </w:r>
    </w:p>
    <w:p>
      <w:r>
        <w:t>IT: VD_FINDINFO Jug / 2025 / 387 del 11 dicembre 2024</w:t>
      </w:r>
    </w:p>
    <w:p>
      <w:pPr>
        <w:pStyle w:val="Heading2"/>
      </w:pPr>
      <w:r>
        <w:t>Regeste</w:t>
      </w:r>
    </w:p>
    <w:p>
      <w:r>
        <w:t>TENTATIVE{DROIT PÉNAL}, RECEL | 160 CP, 22 al. 1 CP</w:t>
      </w:r>
    </w:p>
    <w:p>
      <w:pPr>
        <w:pStyle w:val="Heading2"/>
      </w:pPr>
      <w:r>
        <w:t>Erwägungen</w:t>
      </w:r>
    </w:p>
    <w:p>
      <w:r>
        <w:rPr>
          <w:b/>
        </w:rPr>
        <w:t>E. 1</w:t>
      </w:r>
    </w:p>
    <w:p>
      <w:r>
        <w:t>Interjeté dans les formes et délais légaux (art. 385 et 399 CPP [Code de procédure pénale suisse du 5 octobre 2007 ; RS 312.0]), par le prévenu ayant qualité pour recourir (art. 382 al. 1 CPP) contre le jugement d’un tribunal de première instance qui a clos la procédure (art. 398 al. 1 CPP), l’appel de B.________ est recevable.</w:t>
      </w:r>
    </w:p>
    <w:p>
      <w:r>
        <w:rPr>
          <w:b/>
        </w:rPr>
        <w:t>E. 1.3</w:t>
      </w:r>
    </w:p>
    <w:p>
      <w:r>
        <w:t>; ATF 142 IV 265 précité et les références citées ; TF 6B_1311/2021 du 22 novembre 2022 consid. 1.1.2).</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6B_238/2020 du 14 décembre 2020 consid. 3.2 ; TF 6B_481/2020 du 17 juillet 2020 consid. 1.2).</w:t>
      </w:r>
    </w:p>
    <w:p>
      <w:r>
        <w:rPr>
          <w:b/>
        </w:rPr>
        <w:t>E. 3.1</w:t>
      </w:r>
    </w:p>
    <w:p>
      <w:r>
        <w:t>L’appelant se prévaut du principe in dubio pro reo et conteste sa condamnation pour tentative de recel à raison des faits décrits sous chiffre 3 de l’acte d’accusation (cf. supra ch. 2). Il soutient qu’il ne serait pas établi à satisfaction de droit que la machine de nettoyage litigieuse aurait été obtenue au moyen d’une infraction contre le patrimoine, soit en l’occurrence un vol avec effraction commis au préjudice de l’U.________.</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3.2.2</w:t>
      </w:r>
    </w:p>
    <w:p>
      <w:r>
        <w:t>Aux termes de l’art. 160 ch. 1 aCP (Code pénal suisse du 21 décembre 1937 ; RS 311.0) – dans sa teneur en vigueur jusqu'au 30 juin 2023 (RO 2023 p. 259 ; FF 2018 p. 2889), le nouveau droit n’étant pas plus favorable à l’appelant (cf. art. 2 al. 2 CP) –, se rend coupable de recel et est puni d’une peine privative de liberté de cinq ans au plus ou d’une peine pécuniaire celui qui aura acquis, reçu en don ou en gage, dissimulé ou aidé à négocier une chose dont il savait ou devait présumer qu’un tiers l’avait obtenue au moyen d’une infraction contre le patrimoine. Le comportement délictueux consiste à accomplir l'un des trois actes de recel énumérés limitativement par l'art. 160 ch. 1 al. 1 CP, à savoir l'acquisition, dont la réception en don ou en gage ne sont que des variantes, la dissimulation et l'aide à la négociation d'une chose dont l'auteur sait ou doit présumer qu'un tiers l'a obtenue au moyen d'une infraction contre le patrimoine (ATF 128 IV 23 consid. 3c p. 24). Le point de savoir si l'auteur du délit préalable a été poursuivi ou puni est sans pertinence. Il suffit que l'acte initial réalise les conditions objectives d'un comportement pénalement répréhensible (ATF 101 IV 402 consid. 2 p. 405 et les références citées). Comme en matière de blanchiment (art. 305 bis CP), la preuve stricte de l'acte préalable n'est pas exigée (cf. ATF 120 IV 323 consid. 3d p. 328 ; TF 6B_1342/2015 du 28 octobre 2016 consid. 2.2.1). La qualification exacte de l'acte n'est pas nécessaire. Il suffit que la valeur patrimoniale soit issue avec certitude d'un délit contre le patrimoine. Enfin, le recel est une infraction intentionnelle, mais il suffit que l'auteur sache ou doive présumer, respectivement qu'il accepte l'éventualité que la chose provienne d'une infraction contre le patrimoine. Il en va ainsi lorsque les circonstances suggèrent le soupçon de la provenance délictueuse (TF 6B_189/2017 du 7 décembre 2017 consid. 4.1).</w:t>
      </w:r>
    </w:p>
    <w:p>
      <w:r>
        <w:rPr>
          <w:b/>
        </w:rPr>
        <w:t>E. 3.2.3</w:t>
      </w:r>
    </w:p>
    <w:p>
      <w:r>
        <w:t>Le premier juge a relevé que l’appelant avait publié sur les réseaux sociaux la machine de nettoyage qui provenait d’un vol par introduction clandestine commis à Nyon. L’appelant avait indiqué ne pas savoir que l’objet en question provenait d’un vol, affirmant qu’il avait reçu la photo et la demande de publication d’une connaissance travaillant dans le bâtiment et qu’il avait dès lors pensé que la lessiveuse pouvait lui appartenir. Il n’avait toutefois entrepris aucune vérification quant à la provenance de la machine, ignorant notamment si sa connaissance – qu’il ne connaissait que par le fait qu’elle avait fait une rénovation chez un ami – était un employé ou un indépendant. Il ne connaissait pas non plus son salaire et n’était donc pas en mesure de déterminer si la machine pouvait lui appartenir. Le premier juge de relever encore que l’appelant n’avait jamais vu la machine en vrai et n’avait posé aucune question quant à son origine. En agissant de la sorte, l’appelant avait pris le risque de mettre en vente une machine susceptible d’avoir été volée, ce qui s’était d’ailleurs produit. Sur le plan de l’intention, il y avait lieu de retenir que l’appelant avait agi à tout le moins par dol éventuel. Enfin, dans la mesure où la lessiveuse n’avait finalement pas été vendue, seule la tentative pouvait être retenue à l’encontre de l’appelant.</w:t>
      </w:r>
    </w:p>
    <w:p>
      <w:r>
        <w:rPr>
          <w:b/>
        </w:rPr>
        <w:t>E. 3.3</w:t>
      </w:r>
    </w:p>
    <w:p>
      <w:r>
        <w:t>Cette appréciation doit être partagée. La machine litigieuse constitue un matériel très onéreux ; neuve, elle coûte près de 15’000 francs. L’appelant ne l’ignorait pas, puisqu’il a lui-même indiqué sur l’annonce publiée que le prix de l’objet n’était pas négociable car il valait le prix d’une Mercedes. Comme l'a relevé le premier juge, l’acquisition de cette lessiveuse a été faite dans des circonstances obscures, qui auraient dû faire douter l’appelant. Sur ce point, et contrairement à ce qu'il plaide, il est établi à satisfaction de droit que la lessiveuse litigieuse est celle qui a été dérobée à l'U.________, et ce quand bien même l'image publiée par l'appelant provenait d'Internet. En effet, dans son rapport d’investigation du 20 juin 2022, la Police de sûreté a relevé ce qui suit : « Les auteurs ont pénétré de manière indéterminée dans le bâtiment principal, ont commis des dégâts à une niche située au 3ème étage et sur des casiers. Une nettoyeuse (valeur neuve CHF 15'000.-), en charge, a été volée. Des traces de roues ont été constatées sur le tapis d'entrée côté préau ce qui laisserait penser que la machine aurait été sortie de l'enceinte du bâtiment. […] Une vidéo extraite du téléphone de D.________ le montre en train de se déplacer en rue à côté de la machine de nettoyage conduite par un individu vêtu d’une veste rouge, non identifié. D.________ et Y.________ ont effectué des recherches internet sur ce type d’engins, afin d’en connaître la valeur. Y.________ est géolocalisé dans l’enceinte du collège le 09.01.2022 de 1649 à 1720. Une vidéo issue du téléphone de Y.________, montre un appareil de nettoyage de même marque mis en vente sur une vidéo Snap du profil « [...] ». Ce profil pourrait être celui de B.________, pas encore entendu. Ce prévenu fera l’objet d’un rapport séparé » (P. 66, p. 92). On relèvera encore que la lessiveuse a été volée entre le 7 et le 10 janvier 2022 et que l'appelant a posté l'annonce de vente dans ce même laps de temps, étant ici précisé que la plainte pénale à raison de ces faits a été déposée le 13 janvier suivant. On peine à imaginer que le hasard soit l'explication la plus plausible d'une telle proximité temporelle, ce d'autant qu'il s'agit d'un objet peu commun. Les éléments qui précèdent permettent donc d’établir au-delà de tout doute raisonnable que la lessiveuse litigieuse provient bien du vol commis au préjudice de la Ville de Nyon. Le fait qu’aucun auteur n’ait été condamné pour ces faits n’y change rien. Sur le plan de l’intention, l’appelant n’a entrepris aucune vérification quant à la provenance de la machine, et ce alors même qu’une condamnation pour recel figurait déjà dans son casier judiciaire. Partant, il y a lieu de retenir qu’il a à tout le moins accepté l'éventualité que l'objet provienne d'une infraction contre le patrimoine. La lessiveuse n’ayant finalement pas été vendue, l’infraction n’est réalisée qu’au stade de la tentative (cf. art. 22 al. 1 CP). Partant, la condamnation de l’appelant pour tentative de recel à raison des faits décrits sous chiffre 3 de l’acte d’accusation (cf. supra ch. 2) doit être confirmée.</w:t>
      </w:r>
    </w:p>
    <w:p>
      <w:r>
        <w:rPr>
          <w:b/>
        </w:rPr>
        <w:t>E. 4.1</w:t>
      </w:r>
    </w:p>
    <w:p>
      <w:r>
        <w:t>L'appelant, qui plaidait l’acquittement, ne conteste pas, en tant que telle, la sanction prononcée à son encontre. Celle-ci doit toutefois être examinée d’office.</w:t>
      </w:r>
    </w:p>
    <w:p>
      <w:r>
        <w:rPr>
          <w:b/>
        </w:rPr>
        <w:t>E. 4.2.1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w:t>
      </w:r>
    </w:p>
    <w:p>
      <w:r>
        <w:rPr>
          <w:b/>
        </w:rPr>
        <w:t>E. 4.2.2</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juge doit examiner si, eu égard au genre de peine envisagé, une application de l'art. 49 al. 2 CP entre en ligne de compte. Si tel est le cas, il doit fixer une peine complémentaire ( Zusatzstrafe ) à la peine de base ( Grundstrafe ) en tenant compte du principe de l'aggravation découlant de l'art. 49 al. 1 CP (ATF 145 IV 1 consid.</w:t>
      </w:r>
    </w:p>
    <w:p>
      <w:r>
        <w:rPr>
          <w:b/>
        </w:rPr>
        <w:t>E. 4.3</w:t>
      </w:r>
    </w:p>
    <w:p>
      <w:r>
        <w:t>La culpabilité de l'appelant doit être qualifiée de moyenne. Il a manqué de prudence en ne vérifiant pas la provenance de la lessiveuse alors même qu’il avait déjà été condamné pour recel. Néanmoins, l’infraction n’est que tentée et l’intensité de l’activité délictuelle moindre ; une peine pécuniaire suffit à réprimer son comportement. L'infraction ayant eu lieu au mois de janvier 2022, la peine est complémentaire à celle prononcée le 6 mai 2022 par le Ministère public du canton de Genève. En prenant en compte cette condamnation et les faits objets de la présente cause, la peine pécuniaire complémentaire de 25 jours prononcée par le premier juge est adéquate et doit être confirmée, de même que le montant du jour-amende, fixé à 30 fr. conformément à la situation financière de l’appelant. Compte tenu de ses antécédents, de sa persistance à commettre des délits en dépit de précédentes condamnations – allant même jusqu'à récidiver durant le délai d'épreuve de 3 ans imparti le 29 janvier 2020 – et de son absence de prise de conscience, cette peine sera ferme, l’appelant ne répondant pas aux conditions d'octroi du sursis.</w:t>
      </w:r>
    </w:p>
    <w:p>
      <w:r>
        <w:rPr>
          <w:b/>
        </w:rPr>
        <w:t>E. 5</w:t>
      </w:r>
    </w:p>
    <w:p>
      <w:r>
        <w:t>En définitive, l’appel de B.________ doit être rejeté et le jugement entrepris intégralement confirmé. La liste des opérations produite par Me Charles Archinard, défenseur d’office de l’appelant, fait état de 6 heures et 55 minutes consacrées à la procédure d’appel, pour la période du 12 décembre 2024 au 18 juin 2025. Il y a lieu de retrancher les 10 minutes consacrées à l'établissement d'un bordereau de pièces, dans la mesure où il s’agit d’une tâche de secrétariat qui n’a pas à être supportée par l’assistance judiciaire. Il sied encore de retrancher les 2 heures et 30 minutes comptabilisées pour le déplacement à l'extérieur du canton de Genève, celui-ci étant indemnisé par une vacation au tarif forfaitaire de 120 fr. (art. 3bis al. 3 RAJ [règlement sur l’assistance judiciaire en matière civile du 7 décembre 2019 ; BLV 211.02.3], applicable par renvoi de l’art. 26b TFIP [tarif des frais de procédure et indemnités en matière pénale du 28 septembre 2010 ; BLV 312.03.1]). Enfin, il y a lieu d'ajouter 30 minutes au temps allégué afin de tenir compte de la durée des débats d’appel. C’est ainsi une indemnité de 1'072 fr. 45 qui sera allouée à Me Charles Archinard, correspondant à 4 heures et 45 minutes d'activité d'avocat au tarif horaire de 180 fr. (art. 2 al. 1 let. a RAJ ), par 855 fr., à des débours forfaitaires à hauteur de 2 % – et non 5 % comme annoncé (art. 3bis al. 1 RAJ) – des honoraires admis, soit 17 fr. 10, et à un montant de 80 fr. 35 correspondant à la TVA au taux de 8,1 % sur le tout. Vu l’issue de la cause, les frais de la procédure d’appel, constitués des émoluments de jugement, par 1'210 fr., et d’audience, par 400 fr. (art. 21 al. 1 et 2 TFIP), ainsi que des frais imputables à la défense d’office, par 1'072 fr. 45, seront mis à la charge de l’appelant, qui succombe. L’appelant sera tenu de rembourser à l’Etat de Vaud l’indemnité mise à sa charge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