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38 vom 12. August 2024</w:t>
      </w:r>
    </w:p>
    <w:p>
      <w:r>
        <w:t>VD Tribunal cantonal, 2024-08-12, FR</w:t>
      </w:r>
    </w:p>
    <w:p>
      <w:r>
        <w:rPr>
          <w:b/>
        </w:rPr>
        <w:t xml:space="preserve">Quelle: </w:t>
      </w:r>
      <w:r>
        <w:t>https://mcp.opencaselaw.ch/entscheid/vd_findinfo_Jug___2025___38</w:t>
      </w:r>
    </w:p>
    <w:p>
      <w:r>
        <w:t>FR: VD_FINDINFO Jug / 2025 / 38 du 12 août 2024</w:t>
      </w:r>
    </w:p>
    <w:p>
      <w:r>
        <w:t>IT: VD_FINDINFO Jug / 2025 / 38 del 12 agosto 2024</w:t>
      </w:r>
    </w:p>
    <w:p>
      <w:pPr>
        <w:pStyle w:val="Heading2"/>
      </w:pPr>
      <w:r>
        <w:t>Regeste</w:t>
      </w:r>
    </w:p>
    <w:p>
      <w:r>
        <w:t>COMMERCE DE STUPÉFIANTS, CAS GRAVE, REJET DE LA DEMANDE, EXPULSION{DROIT PÉNAL}, FIXATION DE LA PEINE, ERREUR DE DROIT{DROIT PÉNAL} | 66a al. 1 let. o CP, 86 LPTh, 19 al. 1 LStup, 19 ch. 2 let. a LStup, 19 ch. 2 let. c LStup, 19a ch. 1 LStup</w:t>
      </w:r>
    </w:p>
    <w:p>
      <w:pPr>
        <w:pStyle w:val="Heading2"/>
      </w:pPr>
      <w:r>
        <w:t>Erwägungen</w:t>
      </w:r>
    </w:p>
    <w:p>
      <w:r>
        <w:rPr>
          <w:b/>
        </w:rPr>
        <w:t>E. 1</w:t>
      </w:r>
    </w:p>
    <w:p>
      <w:r>
        <w:t>Interjeté dans les formes et délais légaux (art. 385 et 399 CPP [Code de procédure pénale suisse du 5 octobre 2007 ; RS 312.0]), par le prévenu ayant qualité pour recourir (art. 382 al. 1 CPP), contre le jugement d’un tribunal de première instance qui a clos la procédure (art. 398 al. 1 CPP), l’appel de Q.________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w:t>
      </w:r>
    </w:p>
    <w:p>
      <w:r>
        <w:rPr>
          <w:b/>
        </w:rPr>
        <w:t>E. 3.1</w:t>
      </w:r>
    </w:p>
    <w:p>
      <w:r>
        <w:t>; TF 6B_757/2022 du 26 octobre 2022 consid. 2.2 ; TF 6B_1493/2021 du 20 juin 2022 consid. 5.1).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a ce défaut, seraient restés obscurs (ATF 121 IV 202 consid. 2d/aa ; ATF 118 IV 342 consid. 2d ; TF 6B_1237/2023 du 13 mars 2024 consid. 1.3.1).</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 concernent tant le fardeau de la preuve que l'appréciation des preuves au sens large (ATF 145 IV 154 consid. 1.1 ; ATF 144 IV 345 consid. 2.2.3.1, JdT 2019 IV 147 ; TF 6B_575/2024 du 9 septembre 2024 consid. 1.1.1).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1.1.1 et les références citées). Dans cette mesure, la présomption d'innocence se confond avec l'interdiction générale de l'arbitraire, prohibant une appréciation reposant sur des preuves inadéquates ou sans pertinence (ATF 148 IV 409 consid. 2.2 ; ATF 146 IV 88 consid. 1.3.1 ; ATF 145 IV 154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idem ,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w:t>
      </w:r>
    </w:p>
    <w:p>
      <w:r>
        <w:rPr>
          <w:b/>
        </w:rPr>
        <w:t>E. 3.3</w:t>
      </w:r>
    </w:p>
    <w:p>
      <w:r>
        <w:t>En l’espèce, on peut s’interroger sur la recevabilité de ce moyen. En effet, on peine à discerner un intérêt juridique à contester les faits retenus, dans la mesure où l’appelant ne remet pas en cause la quantité transportée, soit 675 g nets de cocaïne (cf. jgmt p. 6 ; déclaration d’appel p. 10) et qu’il admet avoir été impliqué dans des transactions de drogue avec T.________. Qu’il soit le fournisseur ou l’intermédiaire de T.________ ne change rien à la qualification juridique des faits, qui constituent une infraction grave à la LStup au sens de l’art. 19 al. 2 let. a de cette loi. Le rôle endossé par l’appelant dans la commission de ces faits n’a pas non plus d’influence sur la fixation de la peine, dans la mesure où il admet devoir être condamné pour de nombreuses autres transactions de drogue et avoir fourni de nombreux autres intermédiaires ou toxicomanes, de sorte que sa culpabilité ne s’en trouverait pas modifiée (cf. consid. 6.3). Quoi qu’il en soit, c’est l’état de fait établi par les premiers juges qui doit être retenu, l’appréciation des preuves faite par cette autorité étant partagée par la Cour de céans. En effet, les messages téléphoniques échangés par l’appelant avec T.________ démontrent bien que ce dernier commandait de la cocaïne à l’appelant et lui payait cette marchandise (cf. jgmt p. 24). Le grief de l’appelant doit donc être rejeté.</w:t>
      </w:r>
    </w:p>
    <w:p>
      <w:r>
        <w:rPr>
          <w:b/>
        </w:rPr>
        <w:t>E. 4.1</w:t>
      </w:r>
    </w:p>
    <w:p>
      <w:r>
        <w:t>L’appelant conteste ensuite en partie les faits retenus à son encontre au cas 1.2 de l’acte d’accusation (ch. 2.2 ci-dessus), soit la quantité de cocaïne vendue à K.________, qui serait de 24 g et non de 114 g comme imputée par le Ministère public.</w:t>
      </w:r>
    </w:p>
    <w:p>
      <w:r>
        <w:rPr>
          <w:b/>
        </w:rPr>
        <w:t>E. 4.2</w:t>
      </w:r>
    </w:p>
    <w:p>
      <w:r>
        <w:t>En l’espèce, la mise en cause du client K.________, qui s’incrimine également en désignant ses fournisseurs et en admettant qu’il a lui-même revendu une partie de la drogue achetée, doit être préférée à celle du trafiquant, Q.________, qui a tout intérêt à minimiser, d’autant plus que son calcul de la quantité repose sur des estimations tant s’agissant de la fréquence des transactions (une ou deux fois par mois), que de la quantité de chaque transaction (2 ou 3 g), alors que la quantité indiquée par K.________ est de 10 g par transaction, à l’exception de la première transaction. En outre, les premiers juges ont retenu la quantité de 65 g, résultant des déclarations de K.________, et non les 114 g résultant de l’acte d’accusation. Le moyen doit donc être rejeté.</w:t>
      </w:r>
    </w:p>
    <w:p>
      <w:r>
        <w:rPr>
          <w:b/>
        </w:rPr>
        <w:t>E. 5.1</w:t>
      </w:r>
    </w:p>
    <w:p>
      <w:r>
        <w:t>L’appelant conteste encore en partie le taux de pureté moyen retenu par les premiers juges pour les transactions de cocaïne et soutient qu’ils auraient dû retenir une quantité totale de cocaïne pure de 729,75 g, au lieu de 760,2 grammes.</w:t>
      </w:r>
    </w:p>
    <w:p>
      <w:r>
        <w:rPr>
          <w:b/>
        </w:rPr>
        <w:t>E. 5.2</w:t>
      </w:r>
    </w:p>
    <w:p>
      <w:r>
        <w:t>Les premiers juges ont retenu que l’appelant avait procédé à un trafic portant à tout le moins sur l’acquisition de 1'275 g nets et la vente de 1'007,5 g nets de cocaïne. A ces quantités s’ajoutaient les 219,1 g nets de cette drogue retrouvés au domicile de l’appelant à Neuchâtel, correspondant au minimum à 133,7 g de cocaïne pure (P. 101). Les premiers juges ont appliqué un taux de 72 % au solde des quantités acquises, par 1'055,9 g (1'275 g - 219,1 g), obtenant ainsi un total de 760,2 g de cocaïne pure. Là encore, on peut s’interroger sur la recevabilité du moyen soulevé par l’appelant, dans la mesure où on ne discerne pas un intérêt juridique suffisant à faire valoir ce grief, la différence peu importante entre les deux quantités de drogue pure n’ayant pas d’influence sur la fixation de la peine. En effet, plus la quantité de drogue s’éloigne de la limite du cas grave, plus elle perd de l’importance dans la fixation de la peine (cf. consid. 6.2). Quoi qu’il en soit, aucun élément ne justifie de s’écarter du taux de pureté moyen mis en évidence par l’ESC pour les saisies nettes de cocaïne, soit 72 % en 2022 pour les quantités unitaires de 1 à 10 g, lequel se base sur les statistiques 2021 produites par la Société Suisse de Médecine Légale. Avec les premiers juges, il faut donc retenir une quantité acquise de 760,2 g de cocaïne pure de sorte qu’en définitive, le trafic auquel s’est adonné l’appelant a porté sur une quantité minimale totale de 893,9 g de cocaïne pure (760,2 g + 133,7 grammes). Le moyen doit donc être rejeté.</w:t>
      </w:r>
    </w:p>
    <w:p>
      <w:r>
        <w:rPr>
          <w:b/>
        </w:rPr>
        <w:t>E. 6.1</w:t>
      </w:r>
    </w:p>
    <w:p>
      <w:r>
        <w:t>L’appelant invoque une erreur sur l’illicéité pour l’infraction à la LPTh retenue contre lui au chiffre 1.17 de l’acte d’accusation (ch. 2.17 ci-dessus) et soutient qu’il y a lieu de diminuer la peine en conséquence.</w:t>
      </w:r>
    </w:p>
    <w:p>
      <w:r>
        <w:rPr>
          <w:b/>
        </w:rPr>
        <w:t>E. 6.2</w:t>
      </w:r>
    </w:p>
    <w:p>
      <w:r>
        <w:t>Aux termes de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141 IV 336 consid. 2.4.3 et les références citées, JdT 2016 I 200 ; ATF 129 IV 238 consid. 3.1 ; TF 6B_471/2024 du 6 janvier 2025 consid. 5.2). La réglementation relative à l'erreur sur l'illicéité repose sur l'idée que le justiciable doit faire tout son possible pour connaître la loi et que son ignorance ne le protège que dans des cas exceptionnels (ATF 129 IV 238 précité ; TF 6B_471/2024 précité). Pour exclure l'erreur de droit, il suffit que l'auteur ait eu le sentiment de faire quelque chose de contraire à ce qui se doit ou qu'il eût dû avoir ce sentiment (ATF 129 IV 6 consid. 4.1 ; TF 6B_471/2024 précité).</w:t>
      </w:r>
    </w:p>
    <w:p>
      <w:r>
        <w:rPr>
          <w:b/>
        </w:rPr>
        <w:t>E. 6.3</w:t>
      </w:r>
    </w:p>
    <w:p>
      <w:r>
        <w:t>En l’espèce, l’appelant a reconnu l’infraction relative à la revente de Kamagra et ne conclut donc pas à son acquittement pour ce chef de prévention. Quoi qu’il en soit, il se borne à affirmer son ignorance de la nécessité d’une prescription sur ordonnance, mais n’expose pas en quoi, en faisant preuve des précautions commandées par les circonstances, il ne pouvait pas savoir au moment d’agir que son comportement était illicite. Le moyen est donc irrecevable.</w:t>
      </w:r>
    </w:p>
    <w:p>
      <w:r>
        <w:rPr>
          <w:b/>
        </w:rPr>
        <w:t>E. 7.1</w:t>
      </w:r>
    </w:p>
    <w:p>
      <w:r>
        <w:t>L’appelant conteste la peine qui lui a été infligée. Selon lui, les premiers juges auraient mal apprécié sa culpabilité, dans la mesure où son rôle et son degré d’organisation seraient moindres que ceux retenus. Sa bonne collaboration aurait également dû être retenue dans une mesure plus importante. Il se prévaut en outre de son absence d’antécédents et procède à une comparaison des peines avec une autre affaire.</w:t>
      </w:r>
    </w:p>
    <w:p>
      <w:r>
        <w:rPr>
          <w:b/>
        </w:rPr>
        <w:t>E. 7.2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Le type de drogue et sa pureté doivent aussi être pris en considération (ATF 122 IV 299 consid. 2c ; ATF 121 IV 193 consid. 2b/aa ; TF 6B_1036/2022 du 15 mai 2023 consid. 3.1). Pour déterminer si le seuil est atteint, il faut déterminer la quantité de drogue pure sur laquelle a porté l’infraction, qui est seule décisive.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(ATF 145 IV 312 consid. 2.1.1 et les références citées).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6B_1036/2022 précité consid.</w:t>
      </w:r>
    </w:p>
    <w:p>
      <w:r>
        <w:rPr>
          <w:b/>
        </w:rPr>
        <w:t>E. 7.3</w:t>
      </w:r>
    </w:p>
    <w:p>
      <w:r>
        <w:t>Les premiers juges ont considéré, à juste titre, que la culpabilité de l’appelant était lourde, relevant qu’il avait écoulé une grande quantité de cocaïne et que seule son arrestation avait mis fin à son trafic. Consommateur occasionnel, il a agi par appât du gain et ses contestations à ce sujet sont vaines, tant il est évident que les innombrables transactions auxquelles il a procédé lui ont rapporté de l’argent, même s’il n’est pas possible de déterminer son bénéfice. Il en va de même de sa contestation quant à l’organisation du trafic, qui est établie par l’utilisation de plusieurs lieux, dont un salon de massage, et la coactivité de sa comparse, pour procurer de la drogue aux clients dudit salon. La bonne collaboration à l’enquête et le bon comportement en prison ont déjà été retenus à décharge (cf. jgmt p. 31) et l’absence d’antécédents a un effet neutre sur la peine, ce que les premiers juges ont déjà relevé ( ibidem ). L’appelant ne saurait enfin tirer un quelconque argument de la comparaison avec la peine prononcée dans une autre affaire. En effet, selon une jurisprudence bien établie, toute comparaison avec d'autres affaires est délicate, vu les nombreux paramètres entrant en ligne de compte pour la fixation de la peine. Les disparités en cette matière s'expliquent normalement par le principe de l'individualisation des peines, voulu par le législateur ; elles ne suffisent pas en elles-mêmes pour conclure à un abus du pouvoir d'appréciation (ATF 141 IV 61 consid. 6.3.2 ; TF 6B_612/2024 du 18 septembre 2024 consid. 1.6.1). La peine de 45 mois prononcée par les premiers juges est donc adéquate et doit être confirmée. Elle n'est pas compatible avec l’octroi d’un sursis partiel.</w:t>
      </w:r>
    </w:p>
    <w:p>
      <w:r>
        <w:rPr>
          <w:b/>
        </w:rPr>
        <w:t>E. 8</w:t>
      </w:r>
    </w:p>
    <w:p>
      <w:r>
        <w:t>La détention subie par l’appelant depuis le jugement de première instance doit être déduite (art. 51 CP) et son maintien en exécution anticipée de peine ordonné.</w:t>
      </w:r>
    </w:p>
    <w:p>
      <w:r>
        <w:rPr>
          <w:b/>
        </w:rPr>
        <w:t>E. 9.1</w:t>
      </w:r>
    </w:p>
    <w:p>
      <w:r>
        <w:t>L’appelant conteste par ailleurs son expulsion du territoire suisse et se prévaut d’un cas de rigueur en tant que celle-ci constituerait une ingérence d’une certaine importance dans son droit au respect de sa vie privée et familiale. Il fait valoir les liens qui l’unissent à sa mère, qui vit en Suisse, à sa compagne, avec laquelle il a l’intention de se marier, et aux enfants de cette dernière, avec lesquels il a noué un lien familial fort. Il relève également qu’avant son incarcération, il disposait d’une activité professionnelle stable en Suisse, que son employeur est prêt à le réengager à sa sortie de prison et qu’il a appris le français.</w:t>
      </w:r>
    </w:p>
    <w:p>
      <w:r>
        <w:rPr>
          <w:b/>
        </w:rPr>
        <w:t>E. 9.2.1</w:t>
      </w:r>
    </w:p>
    <w:p>
      <w:r>
        <w:t>Aux termes de l’art. 66a al. 1 let. o CP, le juge expulse de Suisse, pour une durée de cinq à quinze ans, l'étranger qui est condamné pour infraction à l'art. 19 al. 2 LStup. L’expulsion est obligatoire, quelle que soit la quotité de la peine prononcée à son encontre.</w:t>
      </w:r>
    </w:p>
    <w:p>
      <w:r>
        <w:rPr>
          <w:b/>
        </w:rPr>
        <w:t>E. 9.2.2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(ATF 149 IV 231 consid. 2.1.1 ; ATF 144 IV 332 consid. 3.3). La clause de rigueur permet de garantir le principe de proportionnalité (art. 5 al. 2 Cst.). Elle doit être appliquée de manière restrictive (ATF 149 IV 231 précité ; ATF 146 IV 105 consid. 3.4.2 ; TF 6B_627/2024 du 8 octobre 2024 consid. 1.2). Il convient de s’inspirer des critères énoncés à l’art. 31 de l'ordonnance du 24 octobre 2007 relative à l'admission, au séjour et à l'exercice d'une activité lucrative (OASA ; RS 142.201) et de la jurisprudence y relative.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réintégration sociale du condamné (ATF 149 IV 231 précité ; ATF 147 IV 453 consid. 1.4.5 ; TF 6B_627/2024 précité consid. 1.2.1).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(ATF 149 IV 231 précité ; ATF 147 IV 453 précité ; TF 6B_627/2024 précité).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149 I 207 consid. 5.3.1 ; ATF 134 II 10 consid. 4.3 ; TF 6B_627/2024 précité consid. 1.2.2). Un séjour légal de dix années suppose en principe une bonne intégration de l’étranger (ATF 149 I 207 consid. 5.3.2 ; ATF 144 I 266 consid. 3.9 ; TF 6B_627/2024 précité consid. 1.2.2). Par ailleurs, un étranger peut se prévaloir de l’art. 8 § 1 CEDH (et de l’art.</w:t>
      </w:r>
    </w:p>
    <w:p>
      <w:r>
        <w:rPr>
          <w:b/>
        </w:rPr>
        <w:t>E. 9.3</w:t>
      </w:r>
    </w:p>
    <w:p>
      <w:r>
        <w:t>En l’espèce, l’appelant ne saurait se prévaloir d’un quelconque cas de rigueur. En effet, il est arrivé en Suisse au mois de mars 2020, parle mal le français et a gravement compromis l’ordre public suisse. Les liens de ce prévenu âgé de 34 ans avec sa mère ne sont pas déterminants et on rappellera que sa compagne, avec laquelle il ne formait qu’un concubinage, est sa comparse, condamnée avec lui en première instance. Le fils mineur de l’appelant vit en Espagne. Il n’y a donc aucune raison de renoncer à l’expulsion de l’appelant, étant au demeurant relevé que lors des débats d’appel, l’appelant a lui-même déclaré que son retour dans ce pays « ne serait pas problématique » (p. 3). Son grief doit donc être rejeté. 10. L’appelant requiert enfin la levée du séquestre portant sur son téléphone portable Samsung S23, affirmant qu’il s’agirait d’un appareil personnel contenant des photographies de son fils et qui ne présenterait aucun lien avec les faits qui lui sont reprochés. Il n’y a pas lieu de faire droit à cette requête, dans la mesure où cet appareil a servi à commettre le trafic de drogue ici réprimé, au même titre que les neuf autres téléphones séquestrés. 11. En définitive, l’appel de Q.________ doit être rejeté et le jugement entrepris confirmé. Aux débats d’appel, Me Julien Pache, défenseur d’office de l’appelant, a produit une liste de ses opérations faisant état de 12 heures et 44 minutes d’activité au tarif d’avocat breveté et de 10 heures et 29 minutes au tarif d’avocat-stagiaire. La durée annoncée doit être réduite. Il y a ainsi lieu de retrancher les 3 heures consacrées à la reprise du dossier par l’avocat-stagiaire et les 2 heures consacrées à la relecture et aux modifications de la déclaration d’appel par Me Julien Pache. Il sied en revanche d’ajouter une heure et 30 minutes à l’activité consacrée par l’avocat précité pour tenir compte de la durée des débats d’appel. En définitive, c’est une indemnité totale de 3’595 fr. 05 qui sera allouée à Me Julien Pache pour la procédure d’appel, correspondant à une activité d’avocat de 12 heures et 14 minutes au tarif horaire de 180 fr., respectivement de 7 heures et 29 minutes au tarif horaire de 110 fr. (art. 2 al. 1 let. a et b RAJ [règlement sur l’assistance judiciaire en matière civile du 7 décembre 2019 ; BLV 211.02.3], applicable par renvoi de l’art. 26b TFIP [tarif des frais de procédure et indemnités en matière pénale du 28 septembre 2010 ; BLV 312.03.1]), par 3’025 fr. 15, à des débours forfaitaires à hauteur de 2 % des honoraires admis, soit 60 fr. 50, à deux vacations à 120 fr. (art. 3bis al. 1 et al. 3 RAJ) et à un montant de 269 fr. 38 correspondant à la TVA au taux de 8,1 % sur le tout. Vu l’issue de la cause, les frais de la procédure d’appel, constitués des émoluments de jugement, par 2’310 fr., et d’audience, par 700 fr. (art. 21 al. 1 et 2 TFIP), ainsi que des frais imputables à la défense d’office, par 3’595 fr. 05, seront mis à la charge de l’appelant, qui succombe. L’appelant sera tenu de rembourser à l’Etat de Vaud l’indemnité en faveur de son défenseur d’office mise à sa charge dès que sa situation financière le permettra.</w:t>
      </w:r>
    </w:p>
    <w:p>
      <w:r>
        <w:rPr>
          <w:b/>
        </w:rPr>
        <w:t>E. 13</w:t>
      </w:r>
    </w:p>
    <w:p>
      <w:r>
        <w:t>Cst.), qui garantit notamment le droit au respect de la vie familiale, pour s’opposer à l’éventuelle séparation de sa famille, pour autant qu’il entretienne une relation étroite et effective avec une personne de sa famille ayant le droit de résider durablement en Suisse (ATF 149 I 207 consid. 5.3.1 ; ATF 144 II 1 consid. 6.1 ; TF 6B_627/2024 précité consid. 1.2.2). Les relations familiales visées par l’art. 8 § 1 CEDH sont avant tout celles qui concernent la famille dite nucléaire, soit celles qui existent entre époux ainsi qu’entre parents et enfants mineurs vivant en ménage commun (ATF 144 II 1 consid. 6.1 ; ATF 135 I 143 consid. 1.3.2 ; TF 6B_627/2024 précité). Sous réserve de circonstances particulières, les concubins ne sont pas habilités à invoquer l'art. 8 CEDH. D'une manière générale, il faut que les relations entre les concubins puissent, par leur nature et leur stabilité, être assimilées à une véritable union conjugale pour bénéficier de la protection de l'art. 8 § 1 CEDH (TF 6B_627/2024 précité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