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378 vom 28. Mai 2025</w:t>
      </w:r>
    </w:p>
    <w:p>
      <w:r>
        <w:t>VD Tribunal cantonal, 2025-05-28, FR</w:t>
      </w:r>
    </w:p>
    <w:p>
      <w:r>
        <w:rPr>
          <w:b/>
        </w:rPr>
        <w:t xml:space="preserve">Quelle: </w:t>
      </w:r>
      <w:r>
        <w:t>https://mcp.opencaselaw.ch/entscheid/vd_findinfo_Jug___2025___378</w:t>
      </w:r>
    </w:p>
    <w:p>
      <w:r>
        <w:t>FR: VD_FINDINFO Jug / 2025 / 378 du 28 mai 2025</w:t>
      </w:r>
    </w:p>
    <w:p>
      <w:r>
        <w:t>IT: VD_FINDINFO Jug / 2025 / 378 del 28 maggio 2025</w:t>
      </w:r>
    </w:p>
    <w:p>
      <w:pPr>
        <w:pStyle w:val="Heading2"/>
      </w:pPr>
      <w:r>
        <w:t>Regeste</w:t>
      </w:r>
    </w:p>
    <w:p>
      <w:r>
        <w:t>MOTIVATION DE LA DÉCISION, PROCÉDURE ÉCRITE, EXPERTISE PSYCHIATRIQUE, DROIT D'ÊTRE ENTENDU | 20 CP, 29 al. 2 Cst., 406 al. 1 let. a CPP (CH), 409 CPP (CH)</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d’E.________ est recevable.</w:t>
      </w:r>
    </w:p>
    <w:p>
      <w:r>
        <w:rPr>
          <w:b/>
        </w:rPr>
        <w:t>E. 1.2</w:t>
      </w:r>
    </w:p>
    <w:p>
      <w:r>
        <w:t>L’appel est traité en procédure écrite, dès lors que seuls des points de droit doivent être tranchés à ce stade (art. 406 al. 1 let. a CPP ; cf. consid. 3 infra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Dans un premier moyen, l’appelante fait grief au premier juge de ne pas avoir ordonné l’expertise psychiatrique qu’elle avait requise à l’audience de jugement. Elle relève qu’elle avait produit, le 4 février 2025, l’expertise psychiatrique établie dans le cadre de la procédure civile qui l’opposait au plaignant et soutient que le tribunal de police ne pouvait pas se considérer suffisamment renseigné sur son état grâce à cette seule expertise. Elle expose qu’il ressortirait de la motivation du jugement qu’elle présenterait des troubles psychiatriques, de sorte qu’il se justifierait de déterminer si ces troubles suscitent un doute sérieux sur son état de santé mental et sur sa responsabilité pénale. Il ressortirait en effet de l’expertise produite qu’elle présenterait un trouble de la personnalité émotionnellement labile, type borderline, selon classification CIM-10. Selon l’appelante, cette pièce démontrerait clairement que le trouble de la personnalité dont elle souffre engendrerait une impulsivité lors des moments de fragilité, créant ainsi un risque de passage à l’acte. Elle relève que l’expertise civile n’expliquerait pas son degré d’irresponsabilité en lien avec chacun des chiffres de l’acte d’accusation et reproche au premier juge d’avoir considéré qu’il n'y avait pas lieu d’ordonner l’expertise sollicitée, dès lors qu’elle allait mieux au jour du jugement, son état au moment des actes qui lui sont reprochés étant seul pertinent.</w:t>
      </w:r>
    </w:p>
    <w:p>
      <w:r>
        <w:rPr>
          <w:b/>
        </w:rPr>
        <w:t>E. 3.2.1</w:t>
      </w:r>
    </w:p>
    <w:p>
      <w:r>
        <w:t>Conformément à l'art. 20 CP (Code pénal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6B_608/2024 du 17 juillet 2025 consid. 2.1.2 ; TF 7B_738/2023 du 30 novembre 2023 consid. 2.2.2 ; TF 6B_558/2023 du 11 septembre 2023 consid. 3.1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6B_608/2024 précité consid. 2.1.2 ; TF 7B_738/2023 précité consid. 2.2.2 ; TF 6B_558/2023 précité consid. 3.1 et les arrêts cités).</w:t>
      </w:r>
    </w:p>
    <w:p>
      <w:r>
        <w:rPr>
          <w:b/>
        </w:rPr>
        <w:t>E. 3.2.2</w:t>
      </w:r>
    </w:p>
    <w:p>
      <w:r>
        <w:t>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7B_361/2024 du 15 avril 2024 consid. 2.2).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3.2.3</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L'annulation et le renvoi ont toutefois un caractère exceptionnel en raison de la nature essentiellement réformatoire de cette voie de droit.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lorsque tous les chefs d'accusation, respectivement tous les points civils, n'ont pas été entièrement traités (ATF 148 IV 155 consid. 1.4.1 ; ATF 143 IV 408 consid. 6.1 ; TF 6B_367/2020 du 17 janvier 2022 consid. 5.1). On parle également de vices importants en cas de non-respect du droit d’être entendu des parties (Moreillon/Parein-Reymond, Code de procédure pénale, Petit commentaire, 3 e éd., Bâle 2025, n. 2 ad art. 409 CPP).</w:t>
      </w:r>
    </w:p>
    <w:p>
      <w:r>
        <w:rPr>
          <w:b/>
        </w:rPr>
        <w:t>E. 3.3</w:t>
      </w:r>
    </w:p>
    <w:p>
      <w:r>
        <w:t>En l’espèce, dans un considérant non achevé figurant en page 19 du jugement entrepris, le premier juge a implicitement rejeté la réquisition tendant à la mise en œuvre d’une expertise psychiatrique, expliquant d’une part que l’expertise civile était suffisante pour apprécier la culpabilité de la prévenue, et d’autre part que celle-ci se portait désormais beaucoup mieux. Les autres motifs ayant conduit le Tribunal de police à rejeter cette réquisition ne sont pas exposés, le considérant s’achevant ainsi : « Quoi qu’il en soit, ». Or, l’expertise civile figurant au dossier est une expertise pédopsychiatrique destinée à régler les relations personnelles entre l’enfant B.G.________ et ses parents, si bien qu’elle est non probante pour établir le degré de responsabilité de l’appelante dans les actes qui lui sont reprochés. Le premier juge n’explique au demeurant pas pour quel motif il conviendrait de considérer que cette expertise serait suffisante. Par ailleurs, il n’est absolument pas relevant que la prévenue se sente désormais beaucoup mieux s’agissant de déterminer quelle était sa responsabilité au moment des faits et le jugement attaqué ne consacre au demeurant aucun considérant à l’examen de cette responsabilité, le considérant y relatif n’ayant pas été rédigé entièrement. Cette motivation est manifestement insuffisante. Pour ces motifs, en particulier le fait que le considérant 3 du jugement est incomplet, il convient d’annuler le jugement entrepris et de renvoyer la cause au Tribunal de police pour instruction et nouvelle décision, dûment motivée, dans le sens de ce qui précède.</w:t>
      </w:r>
    </w:p>
    <w:p>
      <w:r>
        <w:rPr>
          <w:b/>
        </w:rPr>
        <w:t>E. 4</w:t>
      </w:r>
    </w:p>
    <w:p>
      <w:r>
        <w:t>Le jugement entrepris devant être annulé, il n’y a pas lieu d’examiner les griefs formulés par l’appelante sur le fond.</w:t>
      </w:r>
    </w:p>
    <w:p>
      <w:r>
        <w:rPr>
          <w:b/>
        </w:rPr>
        <w:t>E. 5</w:t>
      </w:r>
    </w:p>
    <w:p>
      <w:r>
        <w:t>En définitive, l’appel doit donc être admis et le jugement entrepris annulé. La cause sera renvoyée au Tribunal de police de l’arrondissement de Lausanne pour instruction et nouveau jugement.</w:t>
      </w:r>
    </w:p>
    <w:p>
      <w:r>
        <w:rPr>
          <w:b/>
        </w:rPr>
        <w:t>E. 5.1</w:t>
      </w:r>
    </w:p>
    <w:p>
      <w:r>
        <w:t>Me Marie-Pomme Moinat, défenseur d’office d’E.________, a produit une liste d’opérations (P. 125) faisant état de 19 h 48 d’activité d’avocat, à raison de 1 h 36 d’activité d’avocat breveté au tarif horaire de 180 fr. et de 18 h 12 d’activité d’avocat-stagiaire au tarif horaire de 110 fr., débours à hauteur de 2 % et TVA au taux de 8,1 % en sus. Il n’y a pas lieu de s’écarter du temps ainsi allégué. C’est ainsi une indemnité de 2’525 fr., correspondant à 1 h 36 d’activité d’avocat breveté au tarif horaire de 180 fr., par 288 fr., et à 18 h 12 d’activité d’avocat-stagiaire au tarif horaire de 110 fr., par 2'002 fr., à des débours forfaitaires à hauteur de 2 % des honoraires admis, par 45 fr. 80 (art. 3 bis al. 1 RAJ [règlement sur l’assistance judiciaire en matière civile du 7 décembre 2010 ; BLV 211.02.3], applicable par renvoi de l’art. 26b TFIP [tarif des frais de procédure et indemnités en matière pénale du 28 septembre 2010 ; BLV 312.03.1]), et à la TVA au taux de 8,1 %, par 189 fr. 20, qui sera allouée à Me Marie-Pomme Moinat pour la procédure d’appel.</w:t>
      </w:r>
    </w:p>
    <w:p>
      <w:r>
        <w:rPr>
          <w:b/>
        </w:rPr>
        <w:t>E. 5.2</w:t>
      </w:r>
    </w:p>
    <w:p>
      <w:r>
        <w:t>Vu l’issue de la cause, les frais du présent jugement, par 3’845 fr., constitués de l’émolument de jugement, par 1’320 fr. (art. 21 al. 1 TFIP), ainsi que de l’indemnité allouée au défenseur d’office d’E.________, par 2’525 fr., seront laissés à la charge de l’Etat (art. 428 al. 4 CPP).</w:t>
      </w:r>
    </w:p>
    <w:p>
      <w:r>
        <w:rPr>
          <w:b/>
        </w:rPr>
        <w:t>E. 5.3</w:t>
      </w:r>
    </w:p>
    <w:p>
      <w:r>
        <w:t>L’intimé M.G.________ a conclu, à la charge de l’Etat, à l’allocation d’une indemnité de 819 fr. 70, TVA et débours inclus, pour les dépenses occasionnées par l’exercice raisonnable de ses droits dans le cadre de la procédure (art. 436 al. 3 CPP) (P. 126). L’indemnité requise étant justifiée tant sur le principe qu’en quotité, elle sera allouée à l’intimé,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