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375 vom 2. April 2025</w:t>
      </w:r>
    </w:p>
    <w:p>
      <w:r>
        <w:t>VD Tribunal cantonal, 2025-04-02, FR</w:t>
      </w:r>
    </w:p>
    <w:p>
      <w:r>
        <w:rPr>
          <w:b/>
        </w:rPr>
        <w:t xml:space="preserve">Quelle: </w:t>
      </w:r>
      <w:r>
        <w:t>https://mcp.opencaselaw.ch/entscheid/vd_findinfo_Jug___2025___375</w:t>
      </w:r>
    </w:p>
    <w:p>
      <w:r>
        <w:t>FR: VD_FINDINFO Jug / 2025 / 375 du 2 avril 2025</w:t>
      </w:r>
    </w:p>
    <w:p>
      <w:r>
        <w:t>IT: VD_FINDINFO Jug / 2025 / 375 del 2 aprile 2025</w:t>
      </w:r>
    </w:p>
    <w:p>
      <w:pPr>
        <w:pStyle w:val="Heading2"/>
      </w:pPr>
      <w:r>
        <w:t>Regeste</w:t>
      </w:r>
    </w:p>
    <w:p>
      <w:r>
        <w:t>VIOLATION D'UNE OBLIGATION D'ENTRETIEN, PEINE PRIVATIVE DE LIBERTÉ | 217 al. 1 CP, 40 CP, 41 CP, 46 al. 2 CP, 47 CP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conteste la durée de son activité délictueuse. Il explique, en substance, que, pour les mois de novembre à décembre 2020, il existait un avis aux débiteurs prélevant directement la somme due sur ses indemnités de l’assurance-chômage, de sorte que deux paiements ont eu lieu les 26 et 28 octobre 2020, puis un troisième le 24 novembre 2020 en faveur du BRAPA. Ainsi, les pensions alimentaires des mois de novembre et de décembre 2020 ont bien été versées. De plus, quant au fait que le tribunal a retenu qu’il percevait 3’500 fr. par mois d’indemnités de l’assurance-chômage jusqu’au mois de décembre 2021, il indique qu’il avait une saisie mensuelle sur ses indemnités à hauteur de 800 fr. dès le mois de juin 2021 et que le bénéficie de ces saisies avait été versé au BRAPA à hauteur de 4’749 fr.65. Ses indemnités ne s’élevaient donc plus qu’à 3’200 fr. par mois, dont il fallait encore déduire ses charges mensuelles incluant son minimum vital de 1’200 fr., son loyer de 2’200 fr. et son assurance-maladie par 360 fr., ce qui ne lui permettait pas de verser de contribution d’entretien. Il relève enfin qu’il a émargé à l’aide sociale dès le mois de décembre 2021.</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consid. 2a ; TF 6B_47/2018 consid. 1.1).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3.2.2</w:t>
      </w:r>
    </w:p>
    <w:p>
      <w:r>
        <w:t>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précité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w:t>
      </w:r>
    </w:p>
    <w:p>
      <w:r>
        <w:rPr>
          <w:b/>
        </w:rPr>
        <w:t>E. 3.3</w:t>
      </w:r>
    </w:p>
    <w:p>
      <w:r>
        <w:t>Le premier juge a retenu que, selon le jugement de divorce du 29 avril 2019, J.________ percevait des indemnités nettes de l’assurance-chômage de l’ordre de 4’000 fr. par mois et qu’il n’avait payé aucune contribution d’entretien durant la période incriminée, le dernier versement du chômage selon le décompte produit par le BRAPA datant du 28 octobre 2020. De plus, il a relevé qu’entre les mois de novembre 2020 et de décembre 2021, l’appelant percevait des indemnités de l’assurance-chômage de l’ordre de 3’500 francs. Dans la mesure où des indemnités de chômage de 4’000 fr. avaient été prises en compte pour fixer les contributions d’entretien, l’appelant était en mesure, avec un revenu de 3’500 fr., de s’acquitter à tout le moins d’une contribution d’entretien de 800 fr. pour ses deux enfants, ce qu’il n’avait toutefois pas fait. Quant aux mois de janvier à novembre 2022, il avait bénéficié du revenu d’insertion et n’avait donc pas les moyens de payer les contributions d’entretien pour ses enfants. De décembre 2022 à avril 2023, J.________ percevait un salaire de 4’500 fr., si bien qu’il aurait pu s’acquitter des contributions d’entretien pour ses deux enfants à cette période. Il en allait de même pour la période allant de mai 2023 à avril 2024, puisqu’il percevait alors des revenus de 4’000 fr. par mois. Dès le mois de mai 2024, l’appelant percevait à nouveau le revenu d’insertion, sans qu’il soit établi qu’il aurait été en mesure de percevoir d’autres revenus.</w:t>
      </w:r>
    </w:p>
    <w:p>
      <w:r>
        <w:rPr>
          <w:b/>
        </w:rPr>
        <w:t>E. 3.4.1</w:t>
      </w:r>
    </w:p>
    <w:p>
      <w:r>
        <w:t>S’agissant des contributions d’entretien des mois de novembre et de décembre 2020, il ressort du relevé de compte civil du 12 juin 2025 établi par le BRAPA (P. 33/1) que les 26 et 28 octobre 2020, deux paiements ont été effectués auprès BRAPA. En outre, selon le décompte de l’assurance-chômage de l’appelant du 24 novembre 2020 (P. 15/2), une déduction de 1’300 fr. a été effectuée en faveur du BRAPA. Même si les montants du mois d’octobre ont été attribués à la contribution d’entretien du mois d’octobre par le BRAPA et si le versement du mois de novembre a finalement été ristourné à la caisse de chômage en date du 26 novembre 2020 (P. 33/3), on peut retenir – au bénéfice du doute – que, dans la mesure où les pensions alimentaires sont payées pour le mois suivant et où une déduction salariale était opérée sur les indemnités de l’assurance-chômage du mois de novembre 2020, l’appelant pouvait considérer, de bonne foi, que les pensions alimentaires des mois de novembre et de décembre 2020 avaient été réglées. Partant, on ne saurait lui reprocher un comportement délictuel pour les mois de novembre et de décembre 2020.</w:t>
      </w:r>
    </w:p>
    <w:p>
      <w:r>
        <w:rPr>
          <w:b/>
        </w:rPr>
        <w:t>E. 3.4.2</w:t>
      </w:r>
    </w:p>
    <w:p>
      <w:r>
        <w:t>S’agissant de l’année 2021, l’appelant affirme qu’il percevait 3’500 fr. de l’assurance-chômage jusqu’au mois de décembre 2021. Dans le jugement de divorce du 29 avril 2019, il est toutefois constaté que J.________ est au chômage et touche une indemnité journalière de 215 fr. 65 brut, ce qui correspond à un montant mensuel net de l’ordre de 4’000 francs. Les pensions dues aux enfants ont précisément été arrêtées sur la base de ce revenu de 4’000 fr. pour J.________. On ne voit pas comment l’appelant arrive désormais à un montant mensuel de 3’500 fr. à titre d’indemnité de l’assurance-chômage. On peut relever que ses propres décomptes indiquent des montants perçus en 2021 supérieurs à 3’500 fr. (cf. P. 13), le montant mensuel de 4’000 fr. n’étant donc en réalité pas excessif. Lors de sa première audition du 22 avril 2024, J.________ a expliqué payer un loyer de 1’500 fr. et son assurance-maladie de 350 fr., charges auxquelles on peut ajouter la base mensuelle de 1’200 fr., ce qui représente un total de 3’050 francs. Ainsi, l’appelant avait un disponible suffisant pour payer à tout le moins partiellement les pensions dues à ses enfants, et ce de janvier à mai 2021. Toutefois, selon les relevés de l’Office des paiements de l’AI, l’appelant s’est effectivement vu déduire 800 fr. mensuellement sous l’intitulé « Déduction tiers Office des Poursuites d’Yverdon-Orbe » entre les mois de juin 2021 (sauf pour juillet 2021) et de décembre 2021. Or, le relevé de compte établi par le BRAPA indique la réception d’un montant de 4’749 fr. 65 en date du 30 mai 2022, montant qui semble correspondre aux déductions opérées sur les indemnités versées. Par conséquent, on ne peut reprocher à l’appelant de ne pas avoir versé de pensions à ses enfants pour le mois juin 2021, puis la période d’août à décembre 2021.</w:t>
      </w:r>
    </w:p>
    <w:p>
      <w:r>
        <w:rPr>
          <w:b/>
        </w:rPr>
        <w:t>E. 3.4.3</w:t>
      </w:r>
    </w:p>
    <w:p>
      <w:r>
        <w:t>Des mois de janvier à novembre 2022, puis dès le mois de mai 2024, l’appelant était au bénéfice du RI. Le premier juge a considéré qu’il n’était pas établi que l’intéressé aurait eu les moyens de payer les contributions d’entretien pour ses deux enfants durant ces périodes. On ne discerne pas en quoi cette appréciation, qui est d’ailleurs favorable à l’appelant, serait erronée.</w:t>
      </w:r>
    </w:p>
    <w:p>
      <w:r>
        <w:rPr>
          <w:b/>
        </w:rPr>
        <w:t>E. 3.4.4</w:t>
      </w:r>
    </w:p>
    <w:p>
      <w:r>
        <w:t>Concernant la période de décembre 2022 à avril 2023, l’appelant percevait un salaire mensuel de 4’500 fr., puis de 4’000 fr. des mois de mai 2023 à avril 2024. Ces revenus étaient suffisants pour que l’appelant s’acquitte des pensions alimentaires.</w:t>
      </w:r>
    </w:p>
    <w:p>
      <w:r>
        <w:rPr>
          <w:b/>
        </w:rPr>
        <w:t>E. 3.4.5</w:t>
      </w:r>
    </w:p>
    <w:p>
      <w:r>
        <w:t>Partant, la condamnation de l’appelant pour violation d’une obligation d’entretien doit être confirmée, la période incriminée étant toutefois réduite.</w:t>
      </w:r>
    </w:p>
    <w:p>
      <w:r>
        <w:rPr>
          <w:b/>
        </w:rPr>
        <w:t>E. 4.1</w:t>
      </w:r>
    </w:p>
    <w:p>
      <w:r>
        <w:t>L’appelant conteste la peine infligée et requiert le sursis.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4.2.2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6B_321/2025 du 25 juin 2025 consid. 2.1). En application de l’art. 44 al. 1 CP, si le juge suspend totalement ou partiellement l’exécution d’une peine, il impartit au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Petit commentaire du Code pénal, 2 e éd., Bâle 2017, n. 2 ad art. 44 CP et les références citées).</w:t>
      </w:r>
    </w:p>
    <w:p>
      <w:r>
        <w:rPr>
          <w:b/>
        </w:rPr>
        <w:t>E. 4.3</w:t>
      </w:r>
    </w:p>
    <w:p>
      <w:r>
        <w:t>La culpabilité de J.________ n’est pas anodine. En effet, l’appelant ne s’est acquitté d’aucune contribution d’entretien sur une longue période, préférant notamment faire des dépenses pour sa moto, la location d’un garage, ainsi que sa compagne et les enfants de celle-ci, alors même qu’il avait déjà été condamné en décembre 2020 pour la même infraction. La contribution d’entretien avait été fixée dans une convention qu’il avait librement signée. On ne discerne aucun élément à décharge. Une peine privative de liberté doit être prononcée pour des motifs de prévention spéciale, laquelle sera réduite à 6 mois, en raison de la réduction de la période délictueuse de 31 à 23 mois. Compte tenu des antécédents judiciaires de J.________ et de son absence de remise en question, le pronostic est défavorable et une peine ferme doit être prononcée. À l’instar du premier juge, o n peut d’ailleurs espérer que la perspective de devoir exécuter une peine privative de liberté encourage l’appelant à trouver un emploi, ce qui le rendrait éligible à la semi-détention. L’avertissement adressé à l’appelant et la prolongation d’une année des deux sursis précédemment accordés seront confirmés.</w:t>
      </w:r>
    </w:p>
    <w:p>
      <w:r>
        <w:rPr>
          <w:b/>
        </w:rPr>
        <w:t>E. 5</w:t>
      </w:r>
    </w:p>
    <w:p>
      <w:r>
        <w:t>En définitive, l’appel de J.________ doit être partiellement admis et le jugement modifié dans le sens des considérants qui précèdent. Au vu de la liste des opérations produite par Me Mélanie Krattinger, défenseur d’office de J.________, dont il n’y a pas lieu de s’écarter, à l’exception de la durée d’audience qui sera réduite à 25 minutes, c’est une indemnité de 2’117 fr. 75 qui doit lui être allouée. Vu l’issue de la cause, les frais de la procédure d’appel, par 3’837 fr. 75, constitués des émoluments de jugement et d’audience, par 1’720 fr. (art. 21 al. 1 et 2 TFIP [tarif des frais de procédure et indemnités en matière pénale du 28 septembre 2010 ; BLV 312.03.1]), et de l’indemnité allouée à son défenseur d’office, par 2’117 fr. 75, seront mis par une moitié, à savoir par 1’918 fr. 90, à la charge de J.________, qui succombe sur les questions de la quotité de peine et du sursis, le solde étant laissé à la charge de l’Etat. J.________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