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374 vom 3. April 2025</w:t>
      </w:r>
    </w:p>
    <w:p>
      <w:r>
        <w:t>VD Tribunal cantonal, 2025-04-03, FR</w:t>
      </w:r>
    </w:p>
    <w:p>
      <w:r>
        <w:rPr>
          <w:b/>
        </w:rPr>
        <w:t xml:space="preserve">Quelle: </w:t>
      </w:r>
      <w:r>
        <w:t>https://mcp.opencaselaw.ch/entscheid/vd_findinfo_Jug___2025___374</w:t>
      </w:r>
    </w:p>
    <w:p>
      <w:r>
        <w:t>FR: VD_FINDINFO Jug / 2025 / 374 du 3 avril 2025</w:t>
      </w:r>
    </w:p>
    <w:p>
      <w:r>
        <w:t>IT: VD_FINDINFO Jug / 2025 / 374 del 3 aprile 2025</w:t>
      </w:r>
    </w:p>
    <w:p>
      <w:pPr>
        <w:pStyle w:val="Heading2"/>
      </w:pPr>
      <w:r>
        <w:t>Regeste</w:t>
      </w:r>
    </w:p>
    <w:p>
      <w:r>
        <w:t>VIOLENCE CONTRE LES AUTORITÉS, PRÉSOMPTION D'INNOCENCE, SURSIS À L'EXÉCUTION DE LA PEINE | 285 ch. 1 CP, 40 CP, 41 CP, 42 CP, 47 CP</w:t>
      </w:r>
    </w:p>
    <w:p>
      <w:pPr>
        <w:pStyle w:val="Heading2"/>
      </w:pPr>
      <w:r>
        <w:t>Erwägungen</w:t>
      </w:r>
    </w:p>
    <w:p>
      <w:r>
        <w:rPr>
          <w:b/>
        </w:rPr>
        <w:t>E. 5</w:t>
      </w:r>
    </w:p>
    <w:p>
      <w:r>
        <w:t>En définitive, l’appel de J.________ doit être partiellement admis et le jugement modifié dans le sens des considérants qui précèdent. Vu l’issue de la cause, les frais de la procédure d’appel, constitués des émoluments de jugement et d’audience, par 1’390 fr. (art. 21 al. 1 et 2 TFIP [tarif des frais de procédure et indemnités en matière pénale du 28 septembre 2010 ; BLV 312.03.1]), seront mis par une moitié, soit par 695 fr., à la charge de J.________,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