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362 vom 8. November 2024</w:t>
      </w:r>
    </w:p>
    <w:p>
      <w:r>
        <w:t>VD Tribunal cantonal, 2024-11-08, FR</w:t>
      </w:r>
    </w:p>
    <w:p>
      <w:r>
        <w:rPr>
          <w:b/>
        </w:rPr>
        <w:t xml:space="preserve">Quelle: </w:t>
      </w:r>
      <w:r>
        <w:t>https://mcp.opencaselaw.ch/entscheid/vd_findinfo_Jug___2025___362</w:t>
      </w:r>
    </w:p>
    <w:p>
      <w:r>
        <w:t>FR: VD_FINDINFO Jug / 2025 / 362 du 8 novembre 2024</w:t>
      </w:r>
    </w:p>
    <w:p>
      <w:r>
        <w:t>IT: VD_FINDINFO Jug / 2025 / 362 del 8 novembre 2024</w:t>
      </w:r>
    </w:p>
    <w:p>
      <w:pPr>
        <w:pStyle w:val="Heading2"/>
      </w:pPr>
      <w:r>
        <w:t>Regeste</w:t>
      </w:r>
    </w:p>
    <w:p>
      <w:r>
        <w:t>RIXE, VIOLATION DE DOMICILE, INJURE, MENACE{DROIT PÉNAL}, DOMMAGES À LA PROPRIÉTÉ{DROIT PÉNAL}, INFRACTION D'IMPORTANCE MINEURE, REJET DE LA DEMANDE | 133 CP, 144 al. 1 CP, 172ter CP, 177 CP, 180 CP, 186 CP</w:t>
      </w:r>
    </w:p>
    <w:p>
      <w:pPr>
        <w:pStyle w:val="Heading2"/>
      </w:pPr>
      <w:r>
        <w:t>Erwägungen</w:t>
      </w:r>
    </w:p>
    <w:p>
      <w:r>
        <w:rPr>
          <w:b/>
        </w:rPr>
        <w:t>E. 4.1</w:t>
      </w:r>
    </w:p>
    <w:p>
      <w:r>
        <w:t>S’agissant du cas 19, l’appelant invoque une violation du principe d’accusation au motif que l’acte d’accusation ne mentionne pas de lésion.</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ATF 141 IV 132 consid. 3.4.1 et les réf. ; TF 6B 612/2022 du 7 juin 2023 consid. 1.1).</w:t>
      </w:r>
    </w:p>
    <w:p>
      <w:r>
        <w:rPr>
          <w:b/>
        </w:rPr>
        <w:t>E. 4.2.2</w:t>
      </w:r>
    </w:p>
    <w:p>
      <w:r>
        <w:t>L'art. 123 CP réprime les lésions du corps humain ou de la santé qui ne peuvent être qualifiées de graves au sens de l'art. 122 CP. Aux termes de l'art. 123 ch. 1 aCP, dont la teneur en vigueur au moment des faits n’est ni plus ni moins favorable que sa teneur au 1 er juillet 2023 (art. 2 CP), celui, intentionnellement, aura fait subir à une personne une autre atteinte à l'intégrité corporelle ou à la santé sera, sur plainte, puni d'une peine privative de liberté de trois ans au plus ou d'une peine pécuniaire.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w:t>
      </w:r>
    </w:p>
    <w:p>
      <w:r>
        <w:rPr>
          <w:b/>
        </w:rPr>
        <w:t>E. 4.3</w:t>
      </w:r>
    </w:p>
    <w:p>
      <w:r>
        <w:t>L’appelant plaide en vain que l’acte d’accusation n’est pas suffisamment précis. En effet, les éléments constitutifs de l’infraction de lésions corporelles simples sont suffisamment décrits dans l’acte d’accusation qui indique que S.________ a frappé G.________, l’a saisie au niveau des cheveux et a arraché son tissage en tirant tout en précisant que la prénommée ressentait encore quelques douleurs au niveau du cuir chevelu, à la nuque et au poignet. Du reste, le prévenu pouvait clairement comprendre ce qui lui était reproché. Le grief doit ainsi être rejeté.</w:t>
      </w:r>
    </w:p>
    <w:p>
      <w:r>
        <w:rPr>
          <w:b/>
        </w:rPr>
        <w:t>E. 5.1</w:t>
      </w:r>
    </w:p>
    <w:p>
      <w:r>
        <w:t>L’appelant conteste sa condamnation en lien avec le cas 19 de l’acte d’accusation. Il plaide en substance que seule sa version des faits devrait être retenue et se prévaut d’une absence d’intention s’agissant de la violation de domicile et des dommages à la propriété d’importance mineure.</w:t>
      </w:r>
    </w:p>
    <w:p>
      <w:r>
        <w:rPr>
          <w:b/>
        </w:rPr>
        <w:t>E. 5.2.1</w:t>
      </w:r>
    </w:p>
    <w:p>
      <w:r>
        <w:t>Les principes relatifs à l’infraction de lésions corporelles simples au sens de l’art. 123 aCP ont été rappelés ci-dessus (cf. supra consid. 4.2.2).</w:t>
      </w:r>
    </w:p>
    <w:p>
      <w:r>
        <w:rPr>
          <w:b/>
        </w:rPr>
        <w:t>E. 5.2.2</w:t>
      </w:r>
    </w:p>
    <w:p>
      <w:r>
        <w:t>L’art. 144 al. 1 aCP, dont la teneur en vigueur au moment des faits n’est ni plus ni moins favorable que sa teneur au 1 er juillet 2023 (art. 2 CP), réprime le comportement de celui qui, aura endommagé, détruit ou mis hors d’usage une chose appartenant à autrui ou frappée d’un droit d’usage ou d’usufruit au bénéfice d’autrui sera, sur plainte, puni d’une peine privative de liberté de trois ans au plus ou d’une peine pécuniaire. Selon l’art. 172ter CP, si l’acte ne vise qu’un élément patrimonial de faible valeur ou un dommage de moindre importance, l’auteur est, sur plainte, puni d’une amende.</w:t>
      </w:r>
    </w:p>
    <w:p>
      <w:r>
        <w:rPr>
          <w:b/>
        </w:rPr>
        <w:t>E. 5.2.3</w:t>
      </w:r>
    </w:p>
    <w:p>
      <w:r>
        <w:t>Selon l’art. 177 al. 1 aCP, dont la teneur en vigueur au moment des faits n’est ni plus ni moins favorable que sa teneur au 1 er juillet 2023 (art. 2 CP), celui qui, de toute autre manière, aura, par la parole, l’écriture, l’image, le geste ou par des voies de fait, attaqué autrui dans son honneur sera, sur plainte, puni d’une peine pécuniaire de 90 jours-amende au plus.</w:t>
      </w:r>
    </w:p>
    <w:p>
      <w:r>
        <w:rPr>
          <w:b/>
        </w:rPr>
        <w:t>E. 5.2.4</w:t>
      </w:r>
    </w:p>
    <w:p>
      <w:r>
        <w:t>En vertu de l’art. 180 al. 1 aCP, dont la teneur en vigueur au moment des faits n’est ni plus ni moins favorable que sa teneur au 1 er juillet 2023 (art. 2 CP), celui qui, par une menace grave, aura alarmé ou effrayé une personne sera, sur plainte, puni d’une peine privative de liberté de trois ans au plus ou d’une peine pécuniaire.</w:t>
      </w:r>
    </w:p>
    <w:p>
      <w:r>
        <w:rPr>
          <w:b/>
        </w:rPr>
        <w:t>E. 5.2.5</w:t>
      </w:r>
    </w:p>
    <w:p>
      <w:r>
        <w:t>L’art. 186 aCP, dont la teneur en vigueur au moment des faits n’est ni plus ni moins favorable que sa teneur au 1 er juillet 2023 (art. 2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5.3</w:t>
      </w:r>
    </w:p>
    <w:p>
      <w:r>
        <w:t>En l’espèce, le Tribunal de police s’est dit convaincu que S.________ avait traité sa mère de sorcière, l’avait frappée avec un parapluie, lui avait tiré les cheveux en lui arrachant son tissage, l’avait menacée avec une pioche et avait ensuite volontairement brisé un pot de fleurs en déclarant que c’étaient des fleurs de sorcière. A nouveau, cette appréciation doit être entièrement partagée. La Cour constate que S.________ et G.________ ont livré des versions diamétralement opposées sur le déroulement des faits et que tant l’un que l’autre ont varié dans leur récit (cf. Dossier L, PV aud.-plainte 1, PV aud. 2 et 3, P. 8/1 et jgmt du 8 novembre 2024, pp. 7-8 et 24). Toutefois, G.________ est apparue plus crédible que son fils. En effet, on rappellera, à l’instar du premier juge, que S.________ s’était engagé, lors de l’audience du jugement du 8 mars 2019 à ne plus contacter ni approcher sa mère d’une quelconque manière que ce soit (cf. Dossier L, PV aud.-plainte 1, annexe). Dans ces circonstances, S.________ n’est pas crédible lorsqu’il prétend être simplement entré chez sa mère avec son accord, même tacite (cf. jugement querellé, p. 7 et 13), puis que sa mère l’aurait frappé sur la main au moyen d’un bâton et menacé avec une pioche (Dossier L, PV aud. 3 et jugement querellé, p. 7). D’ailleurs, S.________ a admis qu’il était « très fâché » contre sa mère (cf. jugement querellé, p. 8) après avoir appris que celle-ci faisait des bains à ses fils en les lavant avec des herbes, ce qu’il assimilait à de la sorcellerie similaire aux mauvais traitements qu’il dit avoir subis durant son enfance. La version de G.________, à savoir qu’elle a cherché à empêcher S.________ d’entrer lorsqu’il s’est présenté à elle très en colère, puis a tenté de se défendre face à un déferlement de violence verbale et physique de sa part est ainsi bien plus convaincante dans un tel contexte. Elle a également fourni davantage de détails en particulier au sujet d’autres objets qui ont été brisés lors de l’altercation dont elle a au demeurant produit les photographies (cf. not. Dossier L, P. 8/1 et P. 17/1) et l’appelant lui a adressé de nombreux messages à caractère injurieux et menaçants (cf. P. 8, annexe). Enfin, la plaignante est apparue convaincante lorsqu’elle explique à l’audience de jugement de première instance qu’elle portait un tissage de ses cheveux, soit des faux cheveux tressés ensemble avec ses vrais cheveux, si bien qu’en lui arrachant ce tissage, son fils lui avait également arraché les cheveux. Elle avait alors dû se raser tête et subir des douleurs au niveau du cuir chevelu pendant plusieurs jours (cf. Dossier L, PV aud. 1). C’est donc en vain que l’appelant explique avoir simplement enlevé la perruque que portait sa mère et il est évident que l’infraction de voies de fait n’entre pas en considération. Au surplus, la Cour relève que le constat du CURML selon lequel G.________ ne présentait pas de lésion visible n’est pas déterminant, celui-ci pouvant également s’expliquer par la pigmentation de la peau (cf. P. 8/1, p. 2). En définitive, c’est bien la version de G.________, telle que reprise dans l’acte d’accusation qu’il convient de retenir, les variations dans son récit n’étant pas suffisantes pour y porter caution au regard des autres éléments figurant au dossier. Au vu de ce qui précède, la condamnation de S.________ pour lésions corporelles simples, violation de domicile, injure, menaces et dommages à la propriété d’importance mineure doit être confirmée, l’ensemble des éléments constitutifs étant réunis.</w:t>
      </w:r>
    </w:p>
    <w:p>
      <w:r>
        <w:rPr>
          <w:b/>
        </w:rPr>
        <w:t>E. 7.1</w:t>
      </w:r>
    </w:p>
    <w:p>
      <w:r>
        <w:t>L’appelant estime que la peine privative de liberté de 7 mois qui lui a été infligée est trop sévère. Il invoque à décharge sa bonne collaboration, les regrets qu’il a exprimés ainsi que sa situation personnelle stable, en particulier les relations personnelles avec ses enfants. Il fait valoir également valoir que le premier juge n’aurait pas suffisamment tenu compte de la diminution moyenne de sa responsabilité et qu’il aurait dû prononcer une peine pécuniaire.</w:t>
      </w:r>
    </w:p>
    <w:p>
      <w:r>
        <w:rPr>
          <w:b/>
        </w:rPr>
        <w:t>E. 7.2.1</w:t>
      </w:r>
    </w:p>
    <w:p>
      <w:r>
        <w:t>Le juge fixe la quotité de la peine d'après la culpabilité de l'auteur (art. 47 CP). ElIe doit être évaluée en fonction de tous les éléments objectifs pertinents, qui ont trait à l'acte lui-même, à savoir notamment la gravité de la lésion, le caractère répréhensible de l'acte et son mode d'exécution. Du point de vue subjectif, sont pris en compte I’intensité de la volonté délictuelle ainsi que les motivations et les buts de l’auteur. A ces composantes de la culpabilité, il faut ajouter les facteurs liés à l'auteur Iui-même, à savoir les antécédents, la réputation, la situation personnelle, la vulnérabilité face à la peine et le comportement après l'acte et au cours de la procédure pénale (ATF 141 IV 61 consid. 6.101).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TF 6B_1175/2017 du 11 avril 2018 consid, 2.1 ; TF 68_688/2014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68_395/2021 du 11 mars 2022 consid. 8.1).</w:t>
      </w:r>
    </w:p>
    <w:p>
      <w:r>
        <w:rPr>
          <w:b/>
        </w:rPr>
        <w:t>E. 7.2.4</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7.2.5</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Selon l’art. 94 CP, les règles de conduite que le juge ou l’autorité d’exécution peuvent imposer au condamné pour la durée du délai d’épreuve portent en particulier sur son activité professionnelle, son lieu de séjour, la conduite des véhicules à moteur, la réparation du dommage ainsi que les soins médicaux et psychologiques.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2.1 et 2.2). Les règles de conduite imposées en même temps que le sursis et visant à prévenir un risque de récidive peuvent se révéler déterminantes dans l'établissement du pronostic (TF 6B_1339/2016 du 23 mars 2017 consid. 1.1.2 et les réf. cit.).</w:t>
      </w:r>
    </w:p>
    <w:p>
      <w:r>
        <w:rPr>
          <w:b/>
        </w:rPr>
        <w:t>E. 7.3.1</w:t>
      </w:r>
    </w:p>
    <w:p>
      <w:r>
        <w:t>En l’espèce, le premier juge a retenu que la culpabilité de S.________ était relativement importante. A charge, il a tenu compte du concours d’infractions, ainsi que du caractère gratuit de la violence exercée par le prévenu dans le cadre d’une rixe, la répétition des infractions contre le patrimoine et un certain acharnement contre sa mère. A décharge, il a tenu compte de l’admission d’un certain nombre de faits, de l’écoulement du temps et de la diminution moyenne de responsabilité qui devait être retenue à dires d’expert. La Cour fait sienne l’appréciation du premier juge quant à la culpabilité de l’appelant et ne discerne pas d’autre circonstance à décharge. Sur la base de la diminution moyenne de responsabilité déterminée par les experts (cf. P. 159), et de l’ensemble des circonstances, la culpabilité de S.________ doit être réduite de lourde à relativement lourde (ATF 136 IV 55 consid. 5.7 ; TF 6B_124/2020 du 1 er mai 2020 consid. 2.2.1). Pour des motifs évidents de prévention spéciale, les infractions commises à l’exception des injures doivent toutes être sanctionnées par une peine privative de liberté. L'infraction la plus grave est celle de rixe qui justifie une peine de 2 mois, auquel il convient d’ajouter, par l’effet du concours, 1 mois pour les trois vols retenus (cas 3, 6 et 7), 1 mois pour le recel (cas 8), 1 mois pour les infractions au code de la route (cas 14) et 2 mois pour les infractions commises à l’encontre de sa mère (cas 19 à 21), ce qui aboutit à une peine d’ensemble de 7 mois. Il s’ensuit que la peine privative de liberté de 7 mois infligée par le premier juge est adéquate et doit être confirmée. Compte tenu des antécédents de l’appelant, de la gravité des infractions commises et de la fragilité de sa situation socio-professionnelle, le pronostic qu’il convient d’émettre pour l’octroi du sursis est résolument défavorable. Toutefois, à dires d’experts, une assistance de probation et un suivi psychiatrique sont à même de réduire le fort risque de commission de nouvelles infractions qu’il présente ( Ibid. ). Dans ces conditions, la Cour de céans retient, à l’instar du premier juge, qu’un pronostic non-défavorable peut être émis pour autant que le sursis soit assorti de ces mesures d’accompagnement. Il conviendra également de fixer le délai d’épreuve au maximum légal, soit 5 ans, eu égard à la répétition des actes de violence commis. Avec le premier juge, on relèvera que la peine pécuniaire devant sanctionner les injures est entièrement complémentaire à la peine pécuniaire de 180 jours-amende prononcée le 11 décembre 2023 par le Ministère public de l’arrondissement de Lausanne de sorte que la peine devant sanctionner les injures est entièrement comprise dans la peine prononcée le 11 décembre 2023, la peine pécuniaire ne pouvant pas excéder 180 jours-amende, conformément à l’art. 34 al. 1 CP. Enfin, l’amende sanctionnant les contraventions non prescrites (cas 4 et 19) est adéquate et doit être confirmée.</w:t>
      </w:r>
    </w:p>
    <w:p>
      <w:r>
        <w:rPr>
          <w:b/>
        </w:rPr>
        <w:t>E. 7.3.2</w:t>
      </w:r>
    </w:p>
    <w:p>
      <w:r>
        <w:t>L’appelant s’oppose à ce que le sursis octroyé soit assorti d’une assistance de probation ainsi que d’un suivi psychothérapeutique. Il soutient que tout suivi qui lui serait imposé par la Justice serait voué à l’échec Toutefois, comme vu précédemment ( supra consid. 7.3.1), l’appelant ne pourrait bénéficier du sursis sans qu’une assistance de probation et un suivi psychiatrique ne soient ordonnés, puisque le pronostic s’avérerait manifestement défavorable sans leur prononcé. Il sied également de rappeler que ces mesures d’accompagnement sont avant tout imposées à l’appelant dans son intérêt et visent à limiter le risque de récidive. En effet, l’experte a confirmé ce qui suit : « Les diagnostics posés à l’époque révèlent des pathologies qui nécessitent un traitement psychiatrique. Un suivi est indiqué pour que M. S.________ puisse comprendre ce dont il souffre. Même avec une stabilité retrouvée, un simple changement de repères pourrait tout faire basculer » ( supra , p. 3) et n’a pas écarté la possibilité qu’un lien se noue entre l’appelant et son thérapeute ( supra , p. 3). Du reste, depuis le rapport d’expertise, l’appelant n’a pas entrepris de démarches sérieuses pour entamer un suivi psychiatrique, hormis son inscription sur une liste d’attente auprès du [...] – ce qui n’est pas suffisant – alors qu’un tel suivi est particulièrement indiqué pour traiter sa pathologie et réduire ainsi le risque de commission de nouvelles infractions. Enfin, une assistance de probation s’impose pour exercer un utile rappel à la loi et soutenir l’appelant dans ses démarches professionnelles. Au vu de ce qui précède, le moyen doit être rejeté.</w:t>
      </w:r>
    </w:p>
    <w:p>
      <w:r>
        <w:rPr>
          <w:b/>
        </w:rPr>
        <w:t>E. 8.1</w:t>
      </w:r>
    </w:p>
    <w:p>
      <w:r>
        <w:t>L’appelant conteste l’indemnité de 15'000 fr. pour tort moral allouée à P.________, tant dans son principe que dans sa quotité.</w:t>
      </w:r>
    </w:p>
    <w:p>
      <w:r>
        <w:rPr>
          <w:b/>
        </w:rPr>
        <w:t>E. 8.2</w:t>
      </w:r>
    </w:p>
    <w:p>
      <w:r>
        <w:t>Selon l’art. 47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du 4 octobre 2010. consid. 5.1.1). Parmi les circonstances qui peuvent, selon les cas, justifier l’application de l’art. 47 CO, figurent une longue période de souffrance et d’incapacité de travail, de même que les préjudices psychiques importants (ATF 132 II 117 consid. 2.2.2 ; TF 6B_970/2010 du 23 mai 2011 consid. 1.1.2 ; TF 4A_3738/2007 du 8 janvier 2008 consid. 3.2).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(cf. ATF 132 II 117 consid. 2.2.3 p. 120 ; TF 6B_188/2010 du 4 octobre 2010 consid. 5.1.1).</w:t>
      </w:r>
    </w:p>
    <w:p>
      <w:r>
        <w:rPr>
          <w:b/>
        </w:rPr>
        <w:t>E. 8.3</w:t>
      </w:r>
    </w:p>
    <w:p>
      <w:r>
        <w:t>En l’espèce, P.________ s’est rendue aux urgences de l’Hôpital Riviera-Chablais, site Montreux, le 9 mars 2018 (P. 7/3). Les lésions constatées par les médecins, à savoir « un hématome frontal de 2 cm, un hématome occipital de 2 cm avec dermabrasions, des douleurs à la palpation zygomatique gauche avec hématome en regard, une plaie transfixiante en étoile mesurant 1 cm au niveau de la lèvre supérieure droite avec saignement actif, un saignement actif du nez et un hématome sur le genou gauche » ont nécessité des soins, soit un scanner cérébral et du massif facial, qui a mis en évidence une fracture du nez non déplacée et une suture au niveau de la lèvre (3 points à l’intérieur et 2 points à l’extérieur) après anesthésie locale. Par la suite, les lésions subies par la plaignante ont nécessité une nouvelle intervention chirurgicale au mois de novembre 2018. En effet, en raison d’une obstruction nasale bilatérale avec apparition d’un ronflement important la nuit qu’elle ne présentait pas avant l’accident, une déformation de sa pyramide nasale et une cicatrice avec tuméfaction de la lèvre supérieure droite, P.________ a subi une septorhinoplastie fonctionnelle avec reprise de la cicatrice sous-muqueuse de la lèvre droite (P. 16/1/2). Consécutivement à cette opération, la plaignante a conservé une légère induration de la lèvre avec une légère asymétrie en défaveur de la droite et il est probable, selon le médecin, que cette asymétrie demeure au long cours (P. 16/1/4). Il ressort d’un rapport médical établi le 8 juin 2022 que P.________ présentait encore des séquelles esthétiques, à savoir une déviation nasale, une cicatrice de 1,5 cm du philtrum, une asymétrie de la lèvre supérieure, et une cicatrice de la face interne de la lèvre supérieure, une gêne lors de la respiration nasale et lors de l’expression orale, ainsi que des séquelles psychologiques, à savoir de l’angoisse, des cauchemars, des réveils nocturnes, de l’hypervigilance et une perte de confiance en elle (P. 48/1). Lors des débats de première instance, P.________ a notamment déclaré qu’elle avait pris du temps avant de pouvoir s’exprimer à nouveau avec aisance et elle présentait encore des séquelles psychologiques, ayant de la peine à accepter son image (jugement querellé, pp. 15-16). Ainsi, les lésions subies et les séquelles physiques et psychologiques qu’elles ont entraînées justifie sur le principe une indemnisation. Le montant de 15'000 fr. arrêté par le premier juge est adéquat. Il tient correctement compte de l’atteinte subie mais également des circonstances qui ont entouré sa survenance. Partant, le moyen doit être rejeté.</w:t>
      </w:r>
    </w:p>
    <w:p>
      <w:r>
        <w:rPr>
          <w:b/>
        </w:rPr>
        <w:t>E. 9</w:t>
      </w:r>
    </w:p>
    <w:p>
      <w:r>
        <w:t>En définitive, l’appel formé par S.________ doit être rejeté et le jugement entrepris confirmé. Me Flamur Redzepi, défenseur d’office de S.________, a produit une liste d’opérations dans laquelle il indique une activité d’avocat de 9h00, ce qui est adéquat. L’indemnité due sera dès lors fixée à 1’620 fr. (9h00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32 fr. 40, une vacation à 120 fr. et la TVA à 8,1 %, par 143 fr. 55, soit à un total de 1'915 fr. 95. Me Chauvet-Mingard, conseil d’office de P.________, a produit une liste des opérations dans laquelle elle indique une activité d’avocate de 2 heures et une activité d’avocate-stagiaire de 5h37 (5.62h), ce qui est adéquat, sous réserve de la durée de l’audience qui doit être ramenée à 2 heures. L’indemnité due sera dès lors fixée à 1'045 fr. ([2h00 x 180 fr.] + [4h37 x 110 fr.]), plus des débours forfaitaires à concurrence de 2 % des honoraires admis (art. 19 al. 2 TDC, applicable par renvoi de l’art. 26a al. 6 TFIP), par 17 fr. 35, une vacation à 80 fr. et la TVA à 8,1 %, par 78 fr. 10, soit à un total de 1'043 fr. 30. Me Coralie Devaud, conseil d’office de G.________, a produit une liste des opérations dans laquelle elle indique une activité d’avocate de 3h18 (3.30h.) et une activité d’avocat-stagiaire de 4h06 (4.10h.), ce qui est adéquat. L’indemnité due sera dès lors fixée à 1'045 fr. ([3h18 x 180 fr.] + [4h06 x 110 fr.]), plus des débours forfaitaires à concurrence de 2 % des honoraires admis (art. 19 al. 2 TDC, applicable par renvoi de l’art. 26a al. 6 TFIP), par 20 fr. 90, une vacation à 80 fr. et la TVA à 8,1 %, par 92 fr. 80, soit à un total de 1'238 fr. 70. Vu l’issue de la cause, les frais de la procédure d’appel, par 8'097 fr. 95, constitués des émoluments de jugement et d’audience, par 4'220 fr. (art. 21 al. 1 et 2 TFIP), ainsi que des indemnités précitées, seront mis à la charge de S.________, qui succombe (art. 428 al. 1 CPP). S.________ sera tenu de rembourser à l’Etat les indemnités allouées à son défenseur d’office et aux conseils juridiques gratuits des parties plaignantes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