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360 vom 20. Februar 2025</w:t>
      </w:r>
    </w:p>
    <w:p>
      <w:r>
        <w:t>VD Tribunal cantonal, 2025-02-20, FR</w:t>
      </w:r>
    </w:p>
    <w:p>
      <w:r>
        <w:rPr>
          <w:b/>
        </w:rPr>
        <w:t xml:space="preserve">Quelle: </w:t>
      </w:r>
      <w:r>
        <w:t>https://mcp.opencaselaw.ch/entscheid/vd_findinfo_Jug___2025___360</w:t>
      </w:r>
    </w:p>
    <w:p>
      <w:r>
        <w:t>FR: VD_FINDINFO Jug / 2025 / 360 du 20 février 2025</w:t>
      </w:r>
    </w:p>
    <w:p>
      <w:r>
        <w:t>IT: VD_FINDINFO Jug / 2025 / 360 del 20 febbraio 2025</w:t>
      </w:r>
    </w:p>
    <w:p>
      <w:pPr>
        <w:pStyle w:val="Heading2"/>
      </w:pPr>
      <w:r>
        <w:t>Regeste</w:t>
      </w:r>
    </w:p>
    <w:p>
      <w:r>
        <w:t>TENTATIVE{DROIT PÉNAL}, MEURTRE, CONTRAINTE{DROIT PÉNAL}, PEINE PRIVATIVE DE LIBERTÉ, EXPULSION{DROIT PÉNAL} | 22 ad 111 CP, 22 ad 181 CP, 47 CP, 66a al. 1 let. a CP</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P.________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w:t>
      </w:r>
    </w:p>
    <w:p>
      <w:r>
        <w:rPr>
          <w:b/>
        </w:rPr>
        <w:t>E. 3.1</w:t>
      </w:r>
    </w:p>
    <w:p>
      <w:r>
        <w:t>L’appelant conteste sa condamnation pour tentative de meurtre. Il nie toute intention homicide, même par dol éventuel. Il se prévaut des déclarations de la plaignante aux débats de première instance selon lesquelles celle-ci n’aurait pas pu tomber par-dessus la balustrade du balcon, car elle était appuyée sur le grillage au moment où ses pieds ont été soulevés du sol. Il se prévaut également de sa petite taille et de ses problèmes physiques pour affirmer qu’il ne serait jamais parvenu à faire basculer son épouse par-dessus la balustrade. Il soutient encore que, malgré ses troubles psychiques, il conservait la maîtrise de ses gestes. En définitive, ni les éléments objectifs, ni les éléments subjectifs d’une tentative d’homicide ne seraient réalisés.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3.2.2.1</w:t>
      </w:r>
    </w:p>
    <w:p>
      <w:r>
        <w:t>Aux termes de l'art. 111 CP, celui qui aura intentionnellement tué une personne sera puni d’une peine privative de liberté de cinq ans au moins, en tant que les conditions prévues aux art. 112 à 117 CP ne sont pas réalisées.</w:t>
      </w:r>
    </w:p>
    <w:p>
      <w:r>
        <w:rPr>
          <w:b/>
        </w:rPr>
        <w:t>E. 3.2.2.2</w:t>
      </w:r>
    </w:p>
    <w:p>
      <w:r>
        <w:t>Selon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 ATF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 ATF 133 IV 222 consid. 5.3 ; TF 6B_465/2024 du 8 janvier 2025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 ATF 137 IV 1 consid. 4.2.3 ; ATF 133 IV 9 consid. 4.1 ; TF 6B_465/2024 précité consid. 2.1.1). Selon la jurisprudence, personne ne peut ignorer la probabilité d'une issue fatale en cas de coups de couteau portés au torse ou à l'abdomen d'une victime (TF 6B_951/2023 du 29 janvier 2024 consid. 1.2.2 ; TF 6B_1093/2023 précité consid. 2.1.1 ; TF 6B_269/2023 du 30 juin 2023 consid. 1.1.2 en référence à l'ATF 109 IV 5 consid. 2). Dans ce cas de figure, on peut généralement conclure que l'auteur s'est accommodé de la mort de la victime (TF 6B_951/2023 précité consid. 1.2.2 ; TF 6B_269/2023 précité consid. 1.1.2 ; TF 6B_774/2020 du 28 juillet 2021 consid. 2.5 et les nombreux arrêts cités).</w:t>
      </w:r>
    </w:p>
    <w:p>
      <w:r>
        <w:rPr>
          <w:b/>
        </w:rPr>
        <w:t>E. 3.2.2.3</w:t>
      </w:r>
    </w:p>
    <w:p>
      <w:r>
        <w:t>Il y a tentative lorsque l'auteur a réalisé tous les éléments subjectifs de l'infraction et manifesté sa décision de la commettre, alors que les éléments objectifs font, en tout ou en partie, défaut (art. 22 al. 1 CP ; ATF 140 IV 150 consid. 3.4 ; ATF 137 IV 133 consid. 1.4.2 ; ATF 131 IV 100 consid. 7.2.1). La tentative suppose toujours un comportement intentionnel, le dol éventuel étant toutefois suffisant (ATF 122 IV 246 consid. 3a ; ATF 120 IV 17 consid. 2c ; TF 6B_465/2024 précité consid. 2.1.1 et les références citées).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(TF 6B_465/2024 précité et les références citées). L'auteur ne peut ainsi valablement contester la réalisation d'une tentative de meurtre au motif que le coup qu'il a donné à la victime n'aurait causé que des lésions corporelles simples et que la vie de celle-ci n'aurait pas été mise en danger (TF 6B_465/2024 précité et les références citées). La nouvelle partie générale du Code pénal réunit dans une même disposition le délit manqué (ou tentative achevée), la tentative inachevée et le délit impossible (cf. art. 22 al. 1 CP ; FF 1999, p. 1816). La distinction entre la tentative et le délit impossible n'a, depuis l'entrée en vigueur de la nouvelle partie générale du Code pénal, plus qu'une portée très restreinte. L'atténuation de la peine prévue par l'art. 22 al. 1 CP pour ces deux formes de réalisation de la tentative (au sens large) est, en effet identique (art. 48a CP), de sorte que la distinction n'a plus d'influence hors du cadre général de la fixation de la peine (art. 47 CP), dans lequel la proximité de la réalisation du résultat joue un rôle (cf. ATF 127 IV 101 consid. 2b ; ATF 121 IV 49 consid. 1b ; TF 6B_317/2020, 6B_319/2020 du 1 er juillet 2020 consid. 2.3 in fine ; Hurtado Pozo/Illánez, in : Moreillon et al. (éd.), Commentaire romand, Code pénal I, 2 e éd., Bâle 2021, n. 68 ad art. 22 CP).</w:t>
      </w:r>
    </w:p>
    <w:p>
      <w:r>
        <w:rPr>
          <w:b/>
        </w:rPr>
        <w:t>E. 3.3</w:t>
      </w:r>
    </w:p>
    <w:p>
      <w:r>
        <w:t>Les premiers juges se sont fondés sur de nombreux éléments pour retenir la version de la plaignante et l’intention homicide du prévenu. Ils ont considéré que la plaignante s’était montrée mesurée et avait fait des déclarations constantes, à l’inverse du prévenu, qui avait commencé par mentir à ses enfants, en prétendant que rien ne s’était passé, contestant ensuite les faits lors de son audition de police, puis les admettant en grande partie, après que les enquêteurs lui ont fait écouter l’enregistrement audio. Il avait ainsi perdu toute crédibilité dans ses déclarations. En outre, la version de la plaignante était, en substance, corroborée par les témoins, les enfants du couple, les constats du CURML et l’enregistrement audio des faits litigieux. Pour l’intention homicide, le tribunal de première instance a considéré que le prévenu avait plaqué la plaignante contre la barrière donnant sur le vide, qu’il n’avait pas interrompu ses actes malgré les râles et les appels au secours de la victime, que le risque de chute était augmenté par le poids de la plaignante et par le fait qu’elle se débattait, et que, pour finir, elle avait bien chuté, heureusement du bon côté. Enfin, le prévenu avait fait état à l’expert qu’une voix l’avait poussé à jeter son épouse dans le vide. Cette appréciation est adéquate et la Cour de céans la partage. C’est en vain que l’appelant soutient qu’il ne serait jamais parvenu à faire basculer la victime par-dessus la balustrade, que ce soit en raison de la configuration des lieux, de sa force physique ou de sa prétendue maîtrise des événements. D’abord, en ce qui concerne la configuration des lieux, il n’est pas nécessaire d’examiner si la chute de la plaignante dans le vide était impossible ou non, car quoi qu’il en soit, le crime de meurtre a été retenu dans sa forme tentée, qu’il s’agisse d’un délit manqué ou d’un délit impossible, de sorte qu’une modification de la qualification de l’infraction pour ce motif n’est pas envisageable. Il suffit de constater que le prévenu a soulevé la victime sur le balcon, a manifesté son intention de la pousser hors du balcon avec une intensité telle qu’elle a dû opposer une vive résistance, en se débattant, en griffant et en appelant au secours, autant d’élément qui illustrent la détermination de l’appelant. Ainsi, peu importe que la plaignante fût appuyée lors des faits contre la balustrade ou le grillage, il est établi de toute manière que le comportement de l’appelant a créé pour sa victime un danger concret qui exclut avec certitude que le délit ainsi commis puisse être considéré comme absolument impossible au sens de l’art. 22 al. 2 CP. Cela étant, la scène semble bien s’être déroulée entièrement à l’aplomb de la barrière du balcon, lequel est d’une taille modeste (cf. fiche de pièce à conviction n° 38138). Le prévenu s’est dirigé contre la victime, l’a saisie à la gorge, l’a poussée, l’a soulevée et celle-ci s’est débattue. Selon la victime, si elle avait basculé au moment où le prévenu la soulevait, elle serait passée dans le vide (PV aud. 1, R. 5 ; P. 96, p. 9 ; jugement, pp. 4 et 5). Ces éléments sont corroborés par l’examen médical du CURML (P. 69, pp. 8-9) ainsi que par l’enregistrement audio et sa traduction (fiche de pièce à conviction n° 37580, Denner 3 ; P. 21), qui achèvent de convaincre sur l’intention de l’appelant, qui a dit à la victime, tout en empoignant celle-ci, ce qui suit : « tu veux sauter en bas, tu veux sauter en bas, tu veux ! Tu fais attention aujourd’hui, écoute bien ce que je te dis, ou j’y vais ou t’arrêtes, je peux niquer ma vie, mais tu sautes de suite en bas ! Ecoute bien ce que je te dis, ou t’arrêtes ou tu sautes, tu veux arrêter ou pas, tu veux arrêter ou pas ». L’appelant ne peut pas invoquer sa prétendue faiblesse physique, celle-ci étant contredite, comme on l’a vu, par la résistance acharnée de la victime (cf. PV aud. 1, R. 5, p. 3 ; P. 69, pp. 8-9). Au demeurant, le fait qu’il subirait des limitations fonctionnelles en raison de son état de santé, comme il l’a déclaré à l’audience d’appel, n’empêche en rien d’adopter le comportement incriminé. Enfin, en ce qui concerne la prétendue maîtrise des événements dont se prévaut l’appelant, elle est contredite par les manifestations des troubles psychiques de celui-ci, qui entendait une voix lui disant de pousser son épouse dans le vide (cf. P. 129, p. 9), ainsi que par ses propres déclarations selon lesquelles il a perdu le contrôle (PV aud. 2, p. 10 ; PV aud. 3, ll. 104 et 128-129). En définitive, c’est à juste titre que les premiers juges ont retenu une tentative de meurtre par dol éventuel, soit que l’appelant avait accepté une issue fatale, du fait qu’il ne maîtrisait plus la situation lorsqu’il poussait son épouse en dehors du balcon et que les pieds de cette dernière ne touchaient plus le sol. L’appelant conteste encore que la tentative fût achevée, mais en vain. Il a poussé la victime jusqu’à ce qu’elle chute sur le sol du balcon. On ne distingue aucune renonciation de sa part et le résultat n’a été évité qu’en raison de circonstances étrangères au comportement de l’appelant. On rappelle encore qu’il a déclaré lui-même, à plusieurs reprises, avoir perdu le contrôle.</w:t>
      </w:r>
    </w:p>
    <w:p>
      <w:r>
        <w:rPr>
          <w:b/>
        </w:rPr>
        <w:t>E. 4</w:t>
      </w:r>
    </w:p>
    <w:p>
      <w:r>
        <w:t>L’appelant soutient que si l’infraction de tentative de meurtre devait être retenue, alors elle ne saurait entrer en concours avec la tentative de contrainte, infraction qu’il ne conteste en soi pas mais qui serait absorbée par la première. L’appelant se méprend en soutenant qu’il s’agirait du même complexe de faits. En effet, il ressort de l’enregistrement audio qu’il a intimé à la plaignante l’ordre de se taire, sinon elle allait « en prendre une » (fiche de pièce à conviction n° 37580, Denner 3 ; P. 21), après qu’elle lui a demandé de lui rendre son téléphone portable. Il s’agit bien là de faits distincts, qui n’ont rien à voir avec la tentative de meurtre et qui entrent en concours réel avec celle-ci. La condamnation de l’appelant pour tentative de contrainte doit donc également être confirmée.</w:t>
      </w:r>
    </w:p>
    <w:p>
      <w:r>
        <w:rPr>
          <w:b/>
        </w:rPr>
        <w:t>E. 5.1</w:t>
      </w:r>
    </w:p>
    <w:p>
      <w:r>
        <w:t>L’appelant conteste la quotité de la peine, dès lors qu’il estime s’être uniquement rendu coupable de tentative de contrainte. Il fait valoir que quoi qu’il en soit, la peine devait être réduite compte tenu du fait que la tentative de contrainte était absorbée par la tentative de meurtre et qu’un désistement devait être retenu à décharge, voire une tentative inachevée. En outre, au vu du rapport d’expertise psychiatrique, qui retient une diminution moyenne de sa responsabilité au moment des faits, la peine devrait être réduite dans une plus large mesure que ce qui a été retenu par les premiers juges. Il prétend à une diminution de peine d’au moins 50 %.</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5.2.2</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ainsi qu'en raison d'une éventuelle tentative selon l'art. 22 al. 1 CP (ATF 136 IV 55 précité consid. 5.7 ; TF 6B_746/2022 du 30 mars 2023 consid. 4.2 ; TF 6B_151/2022 du 10 novembre 2022 consid. 2.2).</w:t>
      </w:r>
    </w:p>
    <w:p>
      <w:r>
        <w:rPr>
          <w:b/>
        </w:rPr>
        <w:t>E. 5.3</w:t>
      </w:r>
    </w:p>
    <w:p>
      <w:r>
        <w:t>La culpabilité du prévenu est lourde. Il a voulu attenter à la vie de son épouse, mère de ses filles, et ce pour un motif futile. Il n’a pas cessé son comportement malgré les cris de la victime et le fait qu’elle se débattait vigoureusement. Cette résistance a conduit A.T.________ à chuter sur le sol du balcon plutôt que dans le vide. Comme on l’a vu, il n’y pas eu de désistement de la part de l’appelant et la tentative doit être considérée comme achevée. A l’audience d’appel, bien qu’il ait exprimé des regrets, l’appelant a minimisé les faits et a démontré qu’il n’avait aucune prise de conscience de la dangerosité de ses agissements. Le concours avec la tentative de contrainte doit en outre aggraver la peine. A décharge, à l’instar des premiers juges, il convient de prendre en compte la diminution de responsabilité de l’appelant au moment des faits, celui-ci souffrant de troubles psychiatriques. Toutefois, la diminution de la peine en pourcentage n’a plus cours dans la jurisprudence du Tribunal fédéral et c’est donc en vain que l’appelant invoque une réduction de 50 %. Pour le même motif, le fait que les premiers juges aient déduit d’un tiers la peine qu’ils auraient infligée en cas de responsabilité entière ne lie pas la Cour de céans. Il suffit de constater que, sans diminution de responsabilité, la faute de l’appelant apparaît très lourde, en raison de la gravité de la mise en danger et de l’extrême futilité du motif. En tenant compte de la diminution de responsabilité, la faute apparaît moyenne à lourde, de sorte que la condamnation pour tentative de meurtre et tentative de contrainte à une peine privative de liberté de 4 ans doit être confirmée. Cette sanction, inférieure au minimum légal de l’art. 111 CP, prend en compte adéquatement à la fois la réduction de la peine pour la tentative et la réduction en raison de la diminution de responsabilité.</w:t>
      </w:r>
    </w:p>
    <w:p>
      <w:r>
        <w:rPr>
          <w:b/>
        </w:rPr>
        <w:t>E. 6</w:t>
      </w:r>
    </w:p>
    <w:p>
      <w:r>
        <w:t>Conformément à l’art. 51 CP, la détention subie par P.________ depuis le jugement de première instance sera déduite de la peine privative de liberté prononcée. Le maintien de l’appelant en détention pour des motifs de sûreté sera en outre ordonné, vu notamment le risque de fuite qu’il présente (art. 221 al. 1 let. a CPP), l’appelant ayant été condamné à une lourde peine et ayant de fortes attaches au Portugal, Etat qui n’extrade pas ses ressortissants.</w:t>
      </w:r>
    </w:p>
    <w:p>
      <w:r>
        <w:rPr>
          <w:b/>
        </w:rPr>
        <w:t>E. 7.1</w:t>
      </w:r>
    </w:p>
    <w:p>
      <w:r>
        <w:t>L’appelant conteste enfin son expulsion. Il fait valoir qu’il est arrivé en Suisse il y a 30 ans, qu’il s’y est formé, y a travaillé de manière constante jusqu’à un accident l’ayant rendu invalide et y a fondé une famille. Ses filles sont encore mineures et il entretiendrait avec celles-ci des liens importants. En outre, il souffre de troubles psychiques et soutient qu’il ne pourrait pas bénéficier d’un suivi au Portugal. Par ailleurs, même si ses frères et sœurs résident toujours dans ce pays, il n’y aurait aucune possibilité d’intégration.</w:t>
      </w:r>
    </w:p>
    <w:p>
      <w:r>
        <w:rPr>
          <w:b/>
        </w:rPr>
        <w:t>E. 7.2</w:t>
      </w:r>
    </w:p>
    <w:p>
      <w:r>
        <w:t>L’infraction de tentative de meurtre entre dans le catalogue des cas d’expulsions obligatoires (art. 66a al. 1 let. a CP). L'art.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(ATF 144 IV 332 consid. 3.3). La clause de rigueur permet de garantir le principe de la proportionnalité. Elle doit être appliquée de manière restrictive (ATF 149 IV 231 consid. 2.1.1 ; ATF 146 IV 105 consid. 3.4.2 ; ATF 144 IV 332 consid. 3.3). Il convient de s'inspirer des critères énoncés à l'art. 31 OASA (ordonnance du 24 octobre 2007 relative à l'admission, au séjour et à l'exercice d'une activité lucrative ; RS 142.201) et de la jurisprudence y relative.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précité consid. 2.1.1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146 IV 105 consid. 3.4.2). L’art. 8 par. 1 CEDH dispose que toute personne a en particulier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6B_348/2023 du 28 avril 2023 consid. 2.4 ; TF 6B_1116/2022 du 21 avril 2023 consid. 3.1.2).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w:t>
      </w:r>
    </w:p>
    <w:p>
      <w:r>
        <w:rPr>
          <w:b/>
        </w:rPr>
        <w:t>E. 7.3</w:t>
      </w:r>
    </w:p>
    <w:p>
      <w:r>
        <w:t>Le meurtre constitue un cas d’expulsion obligatoire (art. 66a al. 1 let. a CP). Le fait que l’infraction soit demeurée au stade de la tentative ni change rien. Les premiers juges ont écarté à bon droit l’application de la clause de rigueur (cf. jugement, pp. 29-30), étant donné que l’appelant a voulu attenter à la vie de son épouse, qu’il a des antécédents et que ses attaches avec la Suisse sont très relatives. Malgré ce qu’il prétend et le fait qu’il réside dans notre pays depuis 30 ans, son réseau social est pauvre et il est désormais séparé de son épouse. Certes, il a deux filles encore mineures. Toutefois, à sa sortie de prison, l’une sera majeure et l’autre proche de l’être. Elles pourront aisément rendre visite à leur père au Portugal et entretenir avec lui des liens par le biais des moyens de communications actuels. La réintégration dans son pays d’origine ne présente aucune difficulté majeure pour l’appelant. Il parle la langue, y a des frères et sœurs ainsi que des amis et a à sa disposition la maison de ses parents. Avant son incarcération, il s’y rendait régulièrement pour y passer ses vacances. Il invoque en vain ses difficultés psychiques, dès lors qu’à n’en pas douter, des traitements adéquats existent dans ce pays. Enfin, étant condamné à une peine privative de liberté de 4 ans, l’intérêt public l’emporte nettement sur les intérêts privés de l’appelant à demeurer en Suisse, même en prenant en compte la durée de son séjour en Suisse. La durée de l’expulsion de 7 ans retenue par les premiers juges est adéquate et peut être confirmée, tout comme la renonciation à l’inscription de l’expulsion au fichier SIS.</w:t>
      </w:r>
    </w:p>
    <w:p>
      <w:r>
        <w:rPr>
          <w:b/>
        </w:rPr>
        <w:t>E. 8</w:t>
      </w:r>
    </w:p>
    <w:p>
      <w:r>
        <w:t>La condamnation et la peine de l’appelant devant être confirmées, il ne peut être entré en matière sur la conclusion de celui-ci tendant à l’indemnisation de sa détention, celle-ci n’étant pas illicite.</w:t>
      </w:r>
    </w:p>
    <w:p>
      <w:r>
        <w:rPr>
          <w:b/>
        </w:rPr>
        <w:t>E. 9</w:t>
      </w:r>
    </w:p>
    <w:p>
      <w:r>
        <w:t>En définitive, l’appel doit être rejeté et le jugement entrepris confirmé. Me Laura Emonet, défenseur d’office de P.________, a produit une liste d’opérations (P. 176) faisant état d’un temps consacré au dossier de 22h35. La durée consacrée à la rédaction de la déclaration d’appel de 11 heures est excessive et sera réduite de 3 heures. Le même constat doit être fait s’agissant de la durée de la préparation d’audience de 5 heures, qui sera réduite d’une heure. Enfin, il y a lieu de tenir compte du temps effectif de l’audience d’appel et de réduire la durée estimée d’une heure. C’est donc une durée de 17h35 qui sera indemnisée au tarif horaire de 180 fr., soit 3’165 francs. A cela s’ajoutent les débours forfaitaires à concurrence de 2 %, par 63 fr. 30, trois vacations à 120 fr., et la TVA sur le tout, par 290 fr. 65, pour un montant total de 3'878 fr. 95 qui sera alloué au défenseur d’office. Vu l’issue de la cause, les frais de la procédure d’appel, par 6’368 fr. 95, constitués en l’espèce de l’émolument d’audience et de jugement, par 2’490 fr. (art. 21 al. 1 et 2 TFIP [Tarif des frais de procédure et indemnités en matière pénale du 28 septembre 2010, BLV 312.03.1]), ainsi que de l’indemnité allouée au défenseur d’office, par 3'878 fr. 95, seront mis à la charge de P.________ (art. 428 al. 1 CPP). P.________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