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354 vom 7. Oktober 2024</w:t>
      </w:r>
    </w:p>
    <w:p>
      <w:r>
        <w:t>VD Tribunal cantonal, 2024-10-07, FR</w:t>
      </w:r>
    </w:p>
    <w:p>
      <w:r>
        <w:rPr>
          <w:b/>
        </w:rPr>
        <w:t xml:space="preserve">Quelle: </w:t>
      </w:r>
      <w:r>
        <w:t>https://mcp.opencaselaw.ch/entscheid/vd_findinfo_Jug___2025___354</w:t>
      </w:r>
    </w:p>
    <w:p>
      <w:r>
        <w:t>FR: VD_FINDINFO Jug / 2025 / 354 du 7 octobre 2024</w:t>
      </w:r>
    </w:p>
    <w:p>
      <w:r>
        <w:t>IT: VD_FINDINFO Jug / 2025 / 354 del 7 ottobre 2024</w:t>
      </w:r>
    </w:p>
    <w:p>
      <w:pPr>
        <w:pStyle w:val="Heading2"/>
      </w:pPr>
      <w:r>
        <w:t>Regeste</w:t>
      </w:r>
    </w:p>
    <w:p>
      <w:r>
        <w:t>EXPULSION{DROIT PÉNAL}, VOL{DROIT PÉNAL}, DOMMAGES À LA PROPRIÉTÉ{DROIT PÉNAL}, VIOLATION DE DOMICILE, TORT MORAL | 106 CP, 139 ch. 1 CP, 144 al. 1 CP, 186 CP, 22 ad 139 CP, 40 CP, 41 al. 1 let. a CP, 42 al. 2 CP, 44 al. 1 CP, 47 CP, 49 al. 1 CP, 50 CP, 51 CP, 52 CP, 66a bis CP, 66a CP, 69 CP, 19a ch. 1 LStup, 115 al. 1 let. a LEI, 115 al. 1 let. b LEI</w:t>
      </w:r>
    </w:p>
    <w:p>
      <w:pPr>
        <w:pStyle w:val="Heading2"/>
      </w:pPr>
      <w:r>
        <w:t>Erwägungen</w:t>
      </w:r>
    </w:p>
    <w:p>
      <w:r>
        <w:rPr>
          <w:b/>
        </w:rPr>
        <w:t>E. 1.1</w:t>
      </w:r>
    </w:p>
    <w:p>
      <w:r>
        <w:t>Interjetés dans les formes et délais légaux (art. 399 et 401 CPP), contre le jugement d’un tribunal de première instance qui a clos la procédure (art. 398 al. 1 CPP) et par les prévenus et le Ministère public qui ont la qualité pour recourir (art. 382 al. 1 CPP), les appels d’E.________, d’O.________ et du Ministère public sont recevables.</w:t>
      </w:r>
    </w:p>
    <w:p>
      <w:r>
        <w:rPr>
          <w:b/>
        </w:rPr>
        <w:t>E. 1.1.2</w:t>
      </w:r>
    </w:p>
    <w:p>
      <w:r>
        <w:t>; ATF 127 IV 101 consid. 2b ; TF 6B_1242/2023 du 2 octobre 2024 consid. 4.1.3).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TF 6B_/796 2024 précité consid. 1.2 et les références citées).</w:t>
      </w:r>
    </w:p>
    <w:p>
      <w:r>
        <w:rPr>
          <w:b/>
        </w:rPr>
        <w:t>E. 1.2</w:t>
      </w:r>
    </w:p>
    <w:p>
      <w:r>
        <w:t>L’appel joint, daté du 3 décembre 2024, a été déposé en temps utile dans le délai imparti selon l’art. 400 al. 3 let. b CPP. La P.________, qui agit sans le concours d’un avocat, a conclu à la condamnation des deux prévenus, pour tentative de vol, s’agissant des faits décrits sous le chiffre 6 de l’acte d’accusation (cf. supra ch. 2.6 « En fait »). La plaignante est fondée à conclure à leur condamnation, cette infraction étant examinée ci-dessous dans le cadre de l’appel du Ministère public (cf. infra consid. 4). En revanche, elle ne peut formuler de conclusions s’agissant des peines et mesures.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I. Appels du Ministère public et d’O.________</w:t>
      </w:r>
    </w:p>
    <w:p>
      <w:r>
        <w:rPr>
          <w:b/>
        </w:rPr>
        <w:t>E. 2.5</w:t>
      </w:r>
    </w:p>
    <w:p>
      <w:r>
        <w:t>« En fait ».</w:t>
      </w:r>
    </w:p>
    <w:p>
      <w:r>
        <w:rPr>
          <w:b/>
        </w:rPr>
        <w:t>E. 2.6</w:t>
      </w:r>
    </w:p>
    <w:p>
      <w:r>
        <w:t>« En fait », dans la mesure où l’infraction de tentative de vol d’importance mineure n’a pas été retenue, l’amende de 300 fr. doit être supprimée.</w:t>
      </w:r>
    </w:p>
    <w:p>
      <w:r>
        <w:rPr>
          <w:b/>
        </w:rPr>
        <w:t>E. 3.1</w:t>
      </w:r>
    </w:p>
    <w:p>
      <w:r>
        <w:t>Le Ministère public soutient que les faits décrits sous le chiffre 5 de l’acte d’accusation (cf. supra ch. 2.5 « En fait ») sont constitutifs de vol et non pas de tentative de vol comme retenue par le premier juge.</w:t>
      </w:r>
    </w:p>
    <w:p>
      <w:r>
        <w:rPr>
          <w:b/>
        </w:rPr>
        <w:t>E. 3.2</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Pour qu’il y ait vol, il faut une possession, une rupture de cette possession suivie de la création d’une nouvelle possession. Un simple empêchement passager d’exercer la maîtrise sur la chose n’en fait pas perdre la possession (Dupuis et alii, Petit Commentaire du Code pénal, 2 e éd., Bâle 2017, nn. 9 ss ad art. 139 CP). Dans l’hypothèse du magasin à libre-service, la soustraction est réalisée lorsque l’auteur s’empare d’un objet et le dissimule sur lui, dans un sac ou d’une toute autre manière, voire, suivant les circonstances, lorsque l’auteur neutralise un système d’antivol apposé sur la marchandise ou passe les portiques de sécurité censés faire retentir une alarme (Dupuis et alii, Petit Commentaire du Code pénal, op. cit., n. 12 ad art. 139 CP). Selon la jurisprudence, la maîtrise de fait est brisée lorsqu’un client, après avoir disposé des marchandises dans des sacs à provision qu’il a personnellement apportés et placés dans un caddie, passe à côté de la rangée des caisses sans payer alors même que les articles pourraient encore être payés auprès d’une caisse située à l’extérieure du magasin (TF 6B_100/2012 du 5 juin 2012 consid. 3). Dans tous les cas, la situation person­nelle du client, notamment sa solvabilité et sa réputation, peut être prise en considération pour apprécier l’intention ou non de voler de l’auteur (Papaux, in : Macaluso/Moreillon/Queloz [éd.], Commentaire romand, Code pénal II, Art. 111-392 CP, Bâle 2017, n. 35 ad art. 139 CP).</w:t>
      </w:r>
    </w:p>
    <w:p>
      <w:r>
        <w:rPr>
          <w:b/>
        </w:rPr>
        <w:t>E. 3.3</w:t>
      </w:r>
    </w:p>
    <w:p>
      <w:r>
        <w:t>Le premier juge a retenu que l’instruction n’avait pas permis de démontrer qu’E.________ avait été interpellé après avoir passé les caisses ou quitté le magasin. Il ne faisait certes aucun doute que son intention était de voler les marchandises, mais les éléments du dossier ne permettaient toutefois pas de retenir que le vol était consommé, de sorte que seule la tentative pouvait être retenue. Ce raisonnement ne saurait être suivi. En effet, dans le cadre de la plainte déposée par U.________, il est indiqué ce qui suit « Monsieur prend la marchandise en rayon et dissimule la marchandise dans sa poche personnelle après avoir endommagé les emballages ; pour éviter tout autre dégât, j’interviens avec l’aide de la police pour l’interpellation de Monsieur ». Il s’agit ainsi d’un vol à l’étalage. Le prévenu a endommagé les emballages, très vraisemblablement pour ôter les étiquettes autocollantes antivol, et a mis les marchandises dans ses poches, dissimulant ainsi les objets et se les appropriant par une mainmise immédiate et concrète. Il ressort d’ailleurs des déclarations de l’appelant, lors de l’audience de première instance (cf. p. 4 du jugement), qu’il admet les faits tels que décrits dans l’acte d’accusation. Le vol est donc bien consommé. Le fait que la police soit éventuellement intervenue avant le passage des caisses visait à éviter d’autres dommages et d’autres vols et n’exclut pas la consommation de l’infraction, compte tenu du comportement du prévenu. Partant, E.________ doit être condamné pour vol et non pas pour tentative de vol pour les faits décrits supra ch.</w:t>
      </w:r>
    </w:p>
    <w:p>
      <w:r>
        <w:rPr>
          <w:b/>
        </w:rPr>
        <w:t>E. 4.1</w:t>
      </w:r>
    </w:p>
    <w:p>
      <w:r>
        <w:t>Le Ministère public soutient que les faits décrits sous le chiffre 6 de l’acte d’accusation (cf. supra ch. 2.6 « En fait ») doivent être qualifiés de tentative de vol et non pas de tentative de vol d’importance mineure, ce qui n’est d’ailleurs juridiquement pas possible. S’agissant de ce cas, O.________ conteste sa condamnation pour violation de domicile, dommages à la propriété et tentative de vol d’importance mineure, celle-ci n’étant pas punissable. Invoquant une violation de la présomption d’innocence, il nie sa présence sur les lieux, relevant que [...] n’a vu qu’un seul individu entrer dans l’immeuble, que la police n’a interpellé que son coprévenu sur les lieux et qu’E.________ était fortement alcoolisé au moment des faits. Il considère que même si la Cour de céans devait admettre qu’il se trouvait sur place au moment des faits, aucun élément ne permettait de lui imputer les dommages à la propriété.</w:t>
      </w:r>
    </w:p>
    <w:p>
      <w:r>
        <w:rPr>
          <w:b/>
        </w:rPr>
        <w:t>E. 4.2.1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w:t>
      </w:r>
    </w:p>
    <w:p>
      <w:r>
        <w:rPr>
          <w:b/>
        </w:rPr>
        <w:t>E. 4.2.2</w:t>
      </w:r>
    </w:p>
    <w:p>
      <w:r>
        <w:t>Selon l’art. 172 ter CP, si l’acte ne vise qu’un élément patrimonial de faible valeur ou un dommage de moindre importance, l’auteur est, sur plainte, puni d’une amende. Un élément patrimonial est de faible valeur s’il ne vaut pas plus de 300 fr. (ATF 142 IV 129 consid. 3.1 ; TF 6B_490/2023 du 8 novembre 2023 consid. 3.1). Selon la jurisprudence, c’est l’intention qui est déterminante et non le résultat obtenu. L’art. 172 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 ter CP ne trouve pas application, même si le montant du délit est inférieur à 300 fr. (ATF 123 IV 197 consid. 2a ; ATF 123 IV 113 consid. 3f).</w:t>
      </w:r>
    </w:p>
    <w:p>
      <w:r>
        <w:rPr>
          <w:b/>
        </w:rPr>
        <w:t>E. 4.3.1</w:t>
      </w:r>
    </w:p>
    <w:p>
      <w:r>
        <w:t>O.________ conteste avoir été sur les lieux au moment des faits. Contrairement à ses allégations, on doit admettre sa participation comme coauteur aux infractions de violation de domicile et de dommages à la propriété, compte tenu des éléments suivants. Son coprévenu l’a toujours mis en cause, avant d’avoir une amnésie à ce sujet lors des débats de première instance. De plus, l’appelant O.________ a lui-même admis sa participation, avant de se rétracter lors des débats de première instance. Ainsi, lors de son audition du 19 juillet 2024, il a expliqué qu’il était effectivement entré dans la buanderie, non pas pour y dérober des choses, mais uniquement pour y dormir, et qu’ils n’avaient pas cassé la vitre, dès lors que le regard était ouvert (cf. PV aud. n° 4). A ce titre, dans le cadre de son appel joint, T.________ a expliqué que [...] avait été réveillée par un bruit de vitre cassée, raison pour laquelle elle était allée voir ce qui se passait par la fenêtre. En outre, il résulte du rapport d’investigation (P.11) que, lorsque la police a interpellé E.________ dans la buanderie, ce dernier leur avait dit qu’il était avec un ami qui avait pris la fuite. Presque simultanément à cette première interpellation, une patrouille de la brigade canine a aperçu un individu s’extirper du saut de loup et prendre la fuite. Il ressort également dudit rapport que le chien policier a pu retrouver le fuyard, à savoir O.________, à 100 m de l’immeuble sous la bâche d’un barbecue, dans un jardin privé. L’ensemble de ces éléments sont suffisants pour admettre les faits tels qu’ils résultent du chiffre 6 de l’acte d’accusation. En effet, si la brigade canine a vu O.________ prendre la fuite, c’est qu’il était bien présent sur les lieux. On comprend d’ailleurs difficilement pour quelle raison l’appelant aurait fui, puis cherché à se cacher, s’il n’avait rien à se reprocher. Partant, la condamnation pour violation de domicile et dommages à la propriété d’O.________ doit être confirmée.</w:t>
      </w:r>
    </w:p>
    <w:p>
      <w:r>
        <w:rPr>
          <w:b/>
        </w:rPr>
        <w:t>E. 4.3.2.1</w:t>
      </w:r>
    </w:p>
    <w:p>
      <w:r>
        <w:t>Le premier juge a considéré que les deux prévenus se sont rendus sur les lieux pour voler de la poudre à lessive et qu’aucun élément ne permettait de retenir qu’O.________ avait en tête de voler autre chose le soir en question, ce qui paraissait d’ailleurs cohérent avec le fait qu’il venait de faire sa propre lessive au Centre EVAM, activité qui avait pu lui inspirer la suite des événements. Il a donc condamné les prévenus pour tentative de vol d’importance mineure. Juridiquement, on ne peut retenir la tentative de vol d’importance mineure, dans la mesure où l’art. 105 al. 2 CP prévoit que la tentative et la complicité ne sont punissables que dans les cas expressément prévus par la loi et que l’art. 172 ter CP ne prévoit pas expressément la punissabilité de la tentative.</w:t>
      </w:r>
    </w:p>
    <w:p>
      <w:r>
        <w:rPr>
          <w:b/>
        </w:rPr>
        <w:t>E. 4.3.2.2</w:t>
      </w:r>
    </w:p>
    <w:p>
      <w:r>
        <w:t>Lors de sa première audition, E.________ a expliqué que son comparse l’avait réveillé au milieu de la nuit et lui avait dit qu’ils allaient chercher de la lessive pour laver leurs vêtements. Il a ensuite modifié sa version en expliquant qu’ils comptaient revendre la lessive et a ensuite perdu la mémoire car il était complètement bourré (cf. PV aud. n° 1). On voit déjà à la lecture de ses premières déclarations qu’E.________ a trois versions des faits différentes par rapport à la lessive : pour faire sa lessive, pour la revendre et a enfin une perte de mémoire. A cela s’ajoute qu’il est très insolite de partir en pleine nuit chercher de la lessive, étant d’ailleurs relevé qu’O.________ a une tout autre version des faits et a nié avoir réveillé son acolyte pour aller chercher ou voler de la lessive (cf. PV aud. n° 2). En l’occurrence, on ne peut accorder de crédit aux déclarations des prévenus. En réalité, au regard des événements, de l’heure à laquelle ceux-ci se sont déroulés, du fait que les comparses ont brisé une vitre pour accéder au sous-sol de l’immeuble et qu’ils se sont dirigés vers les caves, on doit admettre que les prévenus entendaient dérober tout ce qui pouvait avoir de la valeur et non pas de la poudre à lessive. On peut encore relever qu’O.________ a des antécédents, notamment pour vol, et qu’E.________ avait également commis des vols quelques jours auparavant. Partant, les prévenus doivent être condamnés pour tentative de vol.</w:t>
      </w:r>
    </w:p>
    <w:p>
      <w:r>
        <w:rPr>
          <w:b/>
        </w:rPr>
        <w:t>E. 5.1</w:t>
      </w:r>
    </w:p>
    <w:p>
      <w:r>
        <w:t>Le Ministère public conteste l’exemption de la peine d’amende en faveur d’E.________ en lien avec la contravention à la LStup. Il requiert en outre le prononcé de peines privatives de liberté de 150 jours avec sursis pendant 3 ans pour E.________ et de 150 jours ferme, peine d’ensemble, pour O.________.</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 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5.2.4</w:t>
      </w:r>
    </w:p>
    <w:p>
      <w:r>
        <w:t>Aux termes de l’art. 46 al. 1 CP si, durant le délai d’épreuve, le condamné commet un crime ou un délit et qu’il y a dès lors lieu de prévoir qu’il commettra de nouvelles infractions, le juge révoque le sursis ou le sursis partiel. Selon l’art. 46 al. 2 1 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Par analogie avec l’art. 42 al. 1 et 2 CP, le juge se fonde sur une appréciation globale des circonstances du cas d’espèce pour estimer le risque de récidive (ATF 134 IV 140 précité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précité consid. 4.2.1).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6B_1520/2022 du 5 septembre 2023 consid. 5.2 et les références citées).</w:t>
      </w:r>
    </w:p>
    <w:p>
      <w:r>
        <w:rPr>
          <w:b/>
        </w:rPr>
        <w:t>E. 5.3.1.1</w:t>
      </w:r>
    </w:p>
    <w:p>
      <w:r>
        <w:t>Appliquant l’art. 52 CP, le premier juge a exempté de peine E.________ pour la contravention à la LStup, compte tenu de l’état de santé de l’intéressé. Lors de l’instruction, à la question de savoir s’il était en bonne santé, E.________ a expliqué ce qui suit : « [n] on pas tout à fait. Je prends depuis très longtemps des médicaments pour les nerfs. En outre, j’ai eu les tendons sectionnés au poignet droit et je souffre encore de douleurs. Je prends ainsi du Diazépam pour la tête et de la Pregabaline pour les douleurs. Je n’ai pas de d’ordonnance en Suisse pour ces médicaments. J’en ai une en France » (cf. PV aud. 3, p. 4). Lors des débats de première instance, il a expliqué que ces médicaments lui avaient également été prescrits en prison dans un premier temps et qu’ensuite le Diazépam avait été remplacé par quelque chose de moins fort, avant d’arrêter complètement d’en prendre. L’appelant a été condamné pour contravention à la LStup, infraction qu’il ne conteste pas. On peut l’exempter de peine, en application de l’art. 19a al. 2 LStup, en retenant qu’il s’agit d’un cas bénin, l’appelant ayant effectivement des problèmes de santé et des douleurs.</w:t>
      </w:r>
    </w:p>
    <w:p>
      <w:r>
        <w:rPr>
          <w:b/>
        </w:rPr>
        <w:t>E. 5.3.1.2</w:t>
      </w:r>
    </w:p>
    <w:p>
      <w:r>
        <w:t>La culpabilité d’E.________ est modérée. Il était manifestement dépassé par les considérations légales en lien avec sa situation administrative. S’agissant de la tentative de vol dans l’immeuble de la plaignante P.________, il s’est laissé entraîner par O.________, alors qu’il se trouvait dans un état de faiblesse en raison de sa consommation d’alcool et de médicaments. A décharge, il faut tenir compte de sa situation personnelle, de la précarité dans laquelle il se trouvait au moment des faits, ainsi que de sa collaboration durant l’enquête, dès lors qu’il a admis l’’essentiel des faits. Il a présenté des regrets lors des débats de première instance, regrets qui ont paru sincère au premier juge. Au vu de ce qui précède, seule une peine privative de liberté peut être prononcée pour des motifs de prévention spéciale et compte tenu de la situation du prévenu. La peine privative de liberté doit être arrêtée à 150 jours, sous déduction de la détention préventive subie au jour du jugement, soit de 82 jours. Cette sanction est constituée de 60 jours pour le vol, infraction la plus grave, auxquels s’ajoutent 20 jours pour l’infraction de tentative de vol, 20 jours pour l’infraction de dommages à la propriété, 20 jours pour l’infraction de violation de domicile et 30 jours pour l’infraction à la Loi fédérale sur les étrangers et l’intégration. S’agissant d’une première condamnation, l’octroi du sursis, ainsi que la durée du délai d’épreuve de 3 ans sont appropriés et doivent être confirmés. Concernant le cas supra</w:t>
      </w:r>
    </w:p>
    <w:p>
      <w:r>
        <w:rPr>
          <w:b/>
        </w:rPr>
        <w:t>E. 5.3.2</w:t>
      </w:r>
    </w:p>
    <w:p>
      <w:r>
        <w:t>La culpabilité d’O.________ n’est pas négligeable. Il était l’instigateur de l’expédition nocturne dans l’immeuble de la plaignante P.________ et a entraîné E.________, pour ensuite le laisser seul sur place avec la police. Il s’agit en outre d’une quatrième condamnation en Suisse depuis novembre 2023 et pour des faits similaires notamment. Il a par ailleurs été condamné à une reprise en Allemagne, pour vol également. Sa collaboration a l’enquête a été mauvaise, niant les faits et revenant sur ses précédentes déclarations. A décharge, on tiendra compte de sa situation relativement précaire en Suisse. Compte tenu de ce qui précède, une peine privative de liberté doit être prononcée pour des motifs de prévention spéciale et compte tenu de la situation du prévenu. Par ailleurs, il se justifie de révoquer le sursis accordé le 3 novembre 2023 par le Ministère public cantonal STRADA, déjà prolongé d’un an le 5 décembre 2023, concernant une condamnation pour vol. S’agissant d’une peine du même type, soit d’une peine privative de liberté de 30 jours, c’est une peine d’ensemble qui doit sanctionner les agissements du prévenu en lien avec la présente cause. Cette peine sera en outre partiellement complémentaire à celles prononcées les 3 novembre 2023 et 4 juillet 2024 par le Ministère public du canton de Genève s’agissant de l’infraction à la LEI. En définitive, la peine privative de liberté sera fixée à 150 jours , sous déduction des 82 jours de détention avant jugement et de 8 jours à titre d’indemnité pour tort moral en raison des 16 jours subis dans des conditions de détention illicite, soit 40 jours pour l’infraction de tentative de vol, infraction la plus grave, auxquels s’ajoutent 30 jours pour l’infraction de dommages à la propriété, 30 jours pour l’infraction de violation de domicile et 20 jours pour l’infraction à la Loi fédérale sur les étranger et l’intégration, ainsi que 30 jours pour l’infraction de vol en lien avec la révocation du sursis. Comme l’a retenu le premier juge, le fait qu’O.________ persiste dans ses agissements délictuels, malgré ses précédentes condamnations, démontre qu’il ne fait pas preuve d’amendement et continue à agir de manière contraire aux lois. Dans de telles circonstances, seul un pronostic défavorable peut être émis et la peine ferme sera confirmée. Dans la mesure où l’infraction de tentative de vol d’importance mineure n’est plus retenue, seule la contravention à la LStup doit être sanctionnée d’une amende, laquelle sera fixée à un montant de 300 fr., la peine privative de liberté de substitution en cas de non-paiement fautif étant de 3 jours.</w:t>
      </w:r>
    </w:p>
    <w:p>
      <w:r>
        <w:rPr>
          <w:b/>
        </w:rPr>
        <w:t>E. 6.1</w:t>
      </w:r>
    </w:p>
    <w:p>
      <w:r>
        <w:t>O.________ soutient qu’après avoir séjourné pendant 16 jours dans des conditions de détention illicites à l’Hôtel de police, il a ensuite été transféré dans une cellule de quatre personnes au sein de la prison du Bois-Mermet, avant d’être transféré dans une cellule à deux personnes depuis le début du mois d’octobre, soit durant 54 jour au total. Il requiert dès lors l’allocation d’une indemnité de 50 fr. par jour, soit un montant total de 3’500 fr. et, subsidiairement, en cas de condamnation, une réduction de la peine d’un quart de la durée passée dans des conditions illicites au Bois-Mermet.</w:t>
      </w:r>
    </w:p>
    <w:p>
      <w:r>
        <w:rPr>
          <w:b/>
        </w:rPr>
        <w:t>E. 6.2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30 mai 2024/189 consid. 10.2 ; CAPE</w:t>
      </w:r>
    </w:p>
    <w:p>
      <w:r>
        <w:rPr>
          <w:b/>
        </w:rPr>
        <w:t>E. 6.3</w:t>
      </w:r>
    </w:p>
    <w:p>
      <w:r>
        <w:t>Il ressort du rapport établi le 6 août 2025 par la Direction de la Prison du Bois-Mermet (P. 117) qu’O.________ a occupé la cellule 242 (pour 4 personnes) du 5 août au 14 octobre 2024 – étant précisé que l’appelant a occupé cette cellule avec deux codétenus au lieu de trois du 10 au 14 août puis du 25 août au 6 septembre 2024 – et la cellule 245 (pour 2 personnes) du 14 octobre au 6 décembre 2024. En l’espèce, la cellule 242 n’est pas problématique, sa superficie étant de 26.27 m 2 et la cellule comprenant une porte séparant les toilettes. Par ailleurs, aucune plainte n’a été déposée par l’appelant. Quant à la cellule 245, celle-ci est cependant problématique. En effet, sa superficie est de 9.16 m 2 , dont il convient de déduire 1.5 m 2 pour la surface des installations sanitaires. En revanche, aucun autre problème n’a été relevé et l’appelant n’a pas déposé de plainte à ce titre. Dans la mesure où O.________ n’a pas occupé durant plus de trois mois consécutifs cette cellule, délai qui selon la jurisprudence fédérale apparaît comme la limite au-delà de laquelle les conditions de détention ne peuvent plus être tolérées, il y a lieu de rejeter le grief de celui-ci, aucune détention dans des conditions illicites ne pouvant être constatée. 7. 7.1 Le Ministère public considère que les deux prévenus remplissent les conditions de l’expulsion obligatoire, celle-ci devant être prononcée pour une durée de 8 ans, sans inscription au fichier SIS. 7.2 7.2.1 Aux termes de l’art. 66a al. 1 let. d CP, le juge expulse de Suisse l’étranger qui est condamné pour vol (art. 139 CP) en lien avec une violation de domicile (art. 186 CP), quelle que soit la quotité de la peine prononcée à son encontre, pour une durée de cinq à quinze ans. Cette disposition s’applique également en cas de tentative (cf. ATF 146 IV 105 consid. 3.4.1 ; ATF 144 IV 168 consid. 1.4.1).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ATF 144 IV 332 consid. 3.3). 7.2.2 La clause de rigueur permet de garantir le principe de la proportionnalité (cf. art. 5 al. 2 Cst.). Elle doit être appliquée de manière restrictive (ATF 149 IV 231 précité consid. 2.1.1 ; ATF 146 IV 105 précité consid. 3.4.2). Il convient de s’inspirer des critères énoncés à l’art. 31 de l’ordonnance du 24 octobre 2007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147 IV 453 consid. 1.4.5 ; ATF 144 IV 332 précité consid. 3.3.2). 7.2.3 Selon l’état de santé de l’intéressé et les prestations de soins disponibles dans l’État d’origine, l’expulsion du territoire suisse pourrait le placer dans une situation personnelle grave au sens de l’art. 66a CP ou être disproportionnée sous l’angle de l’art. 8 par. 2 CEDH (ATF 145 IV 455 consid. 9.1). La CourEDH précise également que les éléments d’ordre médical doivent être pris en compte dans l’examen de l’art. 8 par. 2 CEDH, à travers le caractère provisoire ou définitif de l’interdiction du territoire (arrêt CourEDH Hasanbasic c. Suisse du 11 juin 2013 [requête n o 52166/09] § 54 ; cf. aussi : ATF 145 IV 455 précité consid. 9.1 ; TF 6B_1044/2023 du 20 mars 2024 consid. 4.1.4).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(ATF 145 IV 455 précité consid. 9.1 et les références citées). En matière d’expulsion pénale, l’autorité de jugement appelée à prononcer une telle mesure doit examiner si, en raison de l’état de santé du prévenu, la mesure se révèle disproportionnée (TF 6B_1044/2023 précité consid. 4.1.4 ; TF 6B_1209/2023 du 26février 2024 consid. 2.5). 7.3 Les appelants sont tous les deux condamnés pour tentative de vol et violation de domicile, de sorte que l’expulsion obligatoire est applicable. Ils étaient en séjour illégal en Suisse et ne parlent pas le français. Ils n’ont aucune attache en Suisse et sont finalement repartis vivre en Algérie. O.________ a déjà trois condamnations inscrites à son casier judiciaire suisse et une inscription au casier judiciaire allemand. Quant à E.________, il est arrivé en Suisse le 8 avril 2024 et a commis des vols dès le mois de juillet de la même année. Leur expulsion obligatoire du territoire suisse doit ainsi être prononcée. La durée de 8 ans doit être confirmée, celle-ci étant adéquate. Leurs expulsions seront en outre inscrites au fichier SIS. II. Appel d’E.________ 8. 8.1 E.________ requiert le montant de 4’000 fr. à titre d’indemnité pour sa détention dans des conditions illicites et conteste la compensation de l’indemnité qui lui a été allouée pour le tort moral subi avec l’amende, les conclusions civiles et les frais de justice. 8.2 Le premier juge a constaté qu’E.________ avait passé 40 jours en détention dans des conditions illicites à la zone carcérale de la Blécherette, soit une période exceptionnellement longue dans des conditions notoirement pénibles, et lui a par conséquent octroyé une indemnité de 80 fr. par jour, soit de 3’200 fr. au total. Il a précisé que ce montant sera affecté au règlement de l’amende prononcée à son encontre et des conclusions civiles dues par ses soins en faveur de U.________, le solde étant porté en déduction des frais de justice mis à sa charge. L’appelant réclame 100 fr. par jour de détention dans des conditions illicites. Le montant alloué par 80 fr. étant déjà bien supérieur au montant usuel de 50 fr. (cf. TF 6B_1057/2015 du 25 mai 2016 consid. 5.3.3), le montant octroyé par le premier juge peut exceptionnellement être admis, compte tenu de la durée et des conditions de détention. En revanche, comme l’a soulevé l’appelant, cette indemnité ne peut être compensée ni avec les frais de justice (cf. ATF 140 I 246 consid. 2.6.1), ni avec les conclusions civiles, dès lors qu’il n’existe pas une identité entre le créancier et le débiteur dans la relation en cause (cf. art. 120 CO). Elle ne sera en outre pas compensée avec l’amende, le montant de 3'200 fr. devant lui être intégralement versé. Dans la mesure où le dispositif communiqué aux parties le 18 août 2025 comporte une erreur manifeste, au chiffre V./XXIII [ recte ], dès lors qu’il retient la compensation entre les frais judiciaires mis à la charge d’O.________ et son indemnité pour le tort moral subi, sous déduction de l’amende et des conclusions civiles, il sera rectifié d’office en application de l’art. 83 al. 1 CPP. 9. 9.1 En définitive, l’appel du Ministère public doit être admis et l’appel joint de P.________ partiellement admis, de sorte que le jugement sera réformé en conséquence. L’appel d’E.________ est partiellement admis. L’appel d’O.________ est rejeté. 9.2 La liste des opérations produite par Me Lionel Zeiter, défenseur d’office d’E.________, fait état de 8 heures 30 d’activité d’avocat, hors audience d’appel et analyse de l’arrêt à venir, et de deux vacations. Il n’y a pas lieu de s’écarter du temps allégué, si ce n’est pour tenir compte de la durée des débats d’appel et de l’analyse de l’arrêt à venir pour un total de 2 heures. C’est ainsi une indemnité de 2’343 fr. 40, correspondant à 10 h 30 d’activité d’avocat au tarif horaire de 180 fr., par 1’890 fr., à des débours forfaitaires à hauteur de 37 fr. 80, à deux vacations à 120 fr. et à la TVA au taux de 8,1 %, par 175 fr. 60, qui sera allouée à Me Lionelt Zeiter pour la procédure d’appel. 9.3 La liste des opérations produite par Me Elodie Gallarotti fait état de 3.78 heures d’activité d’avocat et 24.85 heures d’activité d’avocate-stagiaire. La durée annoncée est toutefois disproportionnée. En effet, l’opération comptabilisée le 30 juillet 2025 à 3 heures d’avocate-stagiaire pour l’étude du dossier sera supprimée, compte tenu de la connaissance du dossier acquise en première instance, et la durée estimée d’audience sera réduite d’une heure. C’est ainsi une indemnité de 3’538 fr. 50, correspondant à 3.78 heures d’activité d’avocat au tarif horaire de 180 fr., par 680 fr. 40, et de 20.85 heures d’activité d’avocate-stagiaire au tarif horaire de 110 fr., par 2’293 fr. 50, à des débours forfaitaires à hauteur de 59 fr. 40, à trois vacations à 80 fr. et à la TVA au taux de 8,1 %, par 265 fr. 20, qui sera allouée à Me Elodie Gallarotti pour la procédure d’appel. 9.4 Vu l’issue de la cause, les frais de la procédure d’appel, par 3’700 fr., constitués de l’émolument du présent jugement (art. 21 al. 1 et 2 TFIP), seront mis à raison des 3/10 à la charge d’E.________, soit par 1’110 fr., compte tenu de l’admission partiel de son appel, à raison des 5/10 à la charge d’O.________, soit par 1’850 fr., celui-ci succombant totalement, le solde, par 740 fr., étant laissé à la charge de l’Etat. L’indemnité allouée au défenseur d’office d’E.________, par 2’343 fr. 40, sera mise à sa charge à raison des trois quarts, soit par 1’757 fr. 55, le solde étant laissé à la charge de l’Etat. Quant à celle due en faveur du défenseur d’office d’O.________, par 3’538 fr. 50, celle-ci sera intégralement due par ce dernier. 9.5 E.________ et O.________ seront tenus de rembourser à l’Etat la part mise à leur charge de l’indemnité en faveur de leur défenseur d’office respectif lorsque leur situation financière respective le permettra (art. 135 al. 4 CPP).</w:t>
      </w:r>
    </w:p>
    <w:p>
      <w:r>
        <w:rPr>
          <w:b/>
        </w:rPr>
        <w:t>E. 10</w:t>
      </w:r>
    </w:p>
    <w:p>
      <w:r>
        <w:t>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précité et TF 6B_459/2019 précités et les références citées).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 2 , les conditions de détention ne sont pas illicites.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CAPE 30 mai 2024/189 consid. 10.2 et les références citées). S’agissant de la prison vaudoise du Bois-Mermet, le Tribunal fédéral a précisé que, lors du calcul de la surface individuelle à disposition de chaque détenu, la surface des installations sanitaires se trouvant dans la cellule, qui peut être estimée à 1.5 m 2 , devait être retranchée (TF 1B_325/2017 précité consid. 3.2 ; TF 1B_70/2016 du 24 juin 2016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