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334 vom 19. August 2025</w:t>
      </w:r>
    </w:p>
    <w:p>
      <w:r>
        <w:t>VD Tribunal cantonal, 2025-08-19, FR</w:t>
      </w:r>
    </w:p>
    <w:p>
      <w:r>
        <w:rPr>
          <w:b/>
        </w:rPr>
        <w:t xml:space="preserve">Quelle: </w:t>
      </w:r>
      <w:r>
        <w:t>https://mcp.opencaselaw.ch/entscheid/vd_findinfo_Jug___2025___334</w:t>
      </w:r>
    </w:p>
    <w:p>
      <w:r>
        <w:t>FR: VD_FINDINFO Jug / 2025 / 334 du 19 août 2025</w:t>
      </w:r>
    </w:p>
    <w:p>
      <w:r>
        <w:t>IT: VD_FINDINFO Jug / 2025 / 334 del 19 agosto 2025</w:t>
      </w:r>
    </w:p>
    <w:p>
      <w:pPr>
        <w:pStyle w:val="Heading2"/>
      </w:pPr>
      <w:r>
        <w:t>Regeste</w:t>
      </w:r>
    </w:p>
    <w:p>
      <w:r>
        <w:t>DEMANDE ADRESSÉE À L'AUTORITÉ, RÉVISION{DÉCISION} | 410 al. 1 let. a CPP (CH)</w:t>
      </w:r>
    </w:p>
    <w:p>
      <w:pPr>
        <w:pStyle w:val="Heading2"/>
      </w:pPr>
      <w:r>
        <w:t>Erwägungen</w:t>
      </w:r>
    </w:p>
    <w:p>
      <w:r>
        <w:rPr>
          <w:b/>
        </w:rPr>
        <w:t>E. 1</w:t>
      </w:r>
    </w:p>
    <w:p>
      <w:r>
        <w:t>Fondée sur l’art. 410 al. 1 let. a CPP, la demande de révision présentée par X.________ n’est soumise à l’observation d’aucun délai particulier et peut donc être déposée en tout temps (art. 411 al. 2, 2 e phrase CPP). Le requérant a, en tant que condamné, qualité pour demander la révision du prononcé rendu par la Cour d’appel pénale le 16 septembre 2021. En outre, dans son arrêt du 17 mai 2022, la Cour de droit pénal du Tribunal fédéral n’a pas complété ni rectifié les faits établis par la Cour d’appel pénale dans son prononcé du 16 septembre 2021, de sorte que cette dernière autorité est compétente pour examiner les moyens invoqués par le requérant (ATF 134 IV 48 consid. 1 ; TF 6F_30/2020 du 28 octobre 2020 consid. 3.2 ; TF 6F_16/2020 du 3 juin 2020 consid. 1.1).</w:t>
      </w:r>
    </w:p>
    <w:p>
      <w:r>
        <w:rPr>
          <w:b/>
        </w:rPr>
        <w:t>E. 2</w:t>
      </w:r>
    </w:p>
    <w:p>
      <w:r>
        <w:t>Selon l’art. 410 al. 1 let. a CPP,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Aux termes de l’art. 411 al. 1 CPP, les demandes de révision doivent être motivées et adressées par écrit à la juridiction d’appel. Les motifs de révision doivent être exposés et justifiés dans la demande.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 er juillet 2020 consid. 2.1).</w:t>
      </w:r>
    </w:p>
    <w:p>
      <w:r>
        <w:rPr>
          <w:b/>
        </w:rPr>
        <w:t>E. 3</w:t>
      </w:r>
    </w:p>
    <w:p>
      <w:r>
        <w:t>En l’espèce, la demande de révision consiste en une longue diatribe contre diverses autorités judiciaires. Elle contient des propos outranciers et inconvenants, respectivement inadmissibles à l’égard de plusieurs magistrats vaudois et autres personnes. En outre, la motivation de la requête ne permet pas de comprendre en quoi les éléments objectifs et subjectifs des infractions d’injure et de calomnie ne se seraient plus réalisés. Les moyens invoqués par X.________ apparaissant d’emblée non vraisemblables et abusifs, la demande de révision doit être déclarée irrecevable. Vu l’issue de la cause, les frais de la procédure de révision, par 440 fr. (art. 21 al. 1 TFIP [tarif des frais de procédure et indemnités en matière pénale du 28 septembre 2010 ; BLV 312.03.1] par renvoi de l’art. 22 TFIP),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