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318 vom 20. August 2025</w:t>
      </w:r>
    </w:p>
    <w:p>
      <w:r>
        <w:t>VD Tribunal cantonal, 2025-08-20, FR</w:t>
      </w:r>
    </w:p>
    <w:p>
      <w:r>
        <w:rPr>
          <w:b/>
        </w:rPr>
        <w:t xml:space="preserve">Quelle: </w:t>
      </w:r>
      <w:r>
        <w:t>https://mcp.opencaselaw.ch/entscheid/vd_findinfo_Jug___2025___318</w:t>
      </w:r>
    </w:p>
    <w:p>
      <w:r>
        <w:t>FR: VD_FINDINFO Jug / 2025 / 318 du 20 août 2025</w:t>
      </w:r>
    </w:p>
    <w:p>
      <w:r>
        <w:t>IT: VD_FINDINFO Jug / 2025 / 318 del 20 agosto 2025</w:t>
      </w:r>
    </w:p>
    <w:p>
      <w:pPr>
        <w:pStyle w:val="Heading2"/>
      </w:pPr>
      <w:r>
        <w:t>Regeste</w:t>
      </w:r>
    </w:p>
    <w:p>
      <w:r>
        <w:t>RÉVISION{DÉCISION}, DÉCISION D'IRRECEVABILITÉ, FORME ÉCRITE, NOUVEAU MOYEN DE FAIT | 110 CPP (CH), 410 al. 1 let. a CPP (CH)</w:t>
      </w:r>
    </w:p>
    <w:p>
      <w:pPr>
        <w:pStyle w:val="Heading2"/>
      </w:pPr>
      <w:r>
        <w:t>Erwägungen</w:t>
      </w:r>
    </w:p>
    <w:p>
      <w:r>
        <w:rPr>
          <w:b/>
        </w:rPr>
        <w:t>E. 1.1</w:t>
      </w:r>
    </w:p>
    <w:p>
      <w:r>
        <w:t>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Dans cette hypothèse, la demande de révision n’est soumise à aucun délai (art. 411 al. 2 CPP). La procédure de révision est classiquement divisée en deux étapes : la première, appelée le rescindant ; la seconde, appelée le rescisoire. Dans la phase du rescindant, la juridiction d'appel examine si les conditions pour ouvrir une procédure de révision sont données. Lorsque la révision est accordée à ce stade, la cause est, en règle générale, renvoyée à une autre autorité pour qu'elle statue au fond. C'est la phase du rescisoire. La procédure du rescindant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 TF 6B_206/2024 du 5 juin 2024 consid. 2.1.1). Les faits ou moyens de preuve sont nouveaux lorsque le juge n'en a pas eu connaissance au moment où il s'est prononcé, c'est-à-dire lorsqu'ils ne lui ont pas été soumis sous quelque forme que ce soit (ATF 137 IV 59 précité consid. 5.1.2 ; ATF 130 IV 72 consid. 1). Le fait invoqué devait déjà exister avant l’entrée en force du premier jugement ; un fait postérieur à ce moment ne saurait entrer en considération (ATF 141 IV 349 consid. 2.2 ; TF 6B_836/2016 du 7 mars 2017 consid. 1.3.2 ; Message, p. 1304). Ils sont sérieux lorsqu'ils sont propres à ébranler les constatations de fait sur lesquelles se fonde la condamnation et que l'état de fait ainsi modifié rend possible un jugement sensiblement plus – ou moins – favorable au condamné (ATF 145 IV 197 consid. 1.1 ; ATF 137 IV 59 précité consid. 5.1.4 ; TF 6B_206/2024 précité et les références citées).</w:t>
      </w:r>
    </w:p>
    <w:p>
      <w:r>
        <w:rPr>
          <w:b/>
        </w:rPr>
        <w:t>E. 1.2</w:t>
      </w:r>
    </w:p>
    <w:p>
      <w:r>
        <w:t>Aux termes de l’art. 411 CPP, les demandes de révision doivent être motivées et adressées par écrit à la juridiction d’appel. Les motifs de révision doivent être exposés et justifiés dans la demande (al. 1). Selon l’art. 110 CPP, les requêtes écrites déposées doivent être datées et signées (al. 1). La transmission des requêtes et des recours et des annexes peut se faire par voie électronique, mais à certaines conditions de forme prévues à l'art. 110 al. 2 CPP ainsi que par l'ordonnance sur la communication électronique dans le cadre de procédures civiles et pénales de procédures en matière de poursuite pour dettes et faillites (OCEI-PCPP ; RS 272.1). Un courrier électronique ne répond pas aux exigences de forme posées aux art. 110 al. 1 et 2 CPP s'il n'est pas muni d'une signature manuscrite ou d'une signature électronique certifiée (TF 1B_456/2020 du 8 octobre 2020 consid. 2).</w:t>
      </w:r>
    </w:p>
    <w:p>
      <w:r>
        <w:rPr>
          <w:b/>
        </w:rPr>
        <w:t>E. 1.3</w:t>
      </w:r>
    </w:p>
    <w:p>
      <w:r>
        <w:t>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(ATF 143 IV 122 consid. 3.5), ou encore lorsque la demande de révision apparaît abusive (TF 6B_206/2024 précité consid. 1.1.2 ; TF 6B_1422/2022 du 10 avril 2024 consid. 3.2 ; TF 6B_394/2023 du 5 septembre 2023 consid. 2.1.2). Le refus d'entrer en matière s'impose alors pour des motifs d'économie de procédure, car si la situation est évidente, il n'y a pas de raison que l'autorité requière des déterminations (art. 412 al. 3 CPP) pour ensuite rejeter la demande (art. 413 al. 1 CPP ; TF 6B_206/2024 précité ; TF 6B_240/2023 du 10 janvier 2024 consid. 2.2 ; TF 6B_596/2023 du 31 août 2023 consid. 4). La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Le motif de révision d’emblée non vraisemblable se conçoit en lien avec l’examen des faits et des moyens de preuves invoqués à l’appui de la demande de révision.</w:t>
      </w:r>
    </w:p>
    <w:p>
      <w:r>
        <w:rPr>
          <w:b/>
        </w:rPr>
        <w:t>E. 2</w:t>
      </w:r>
    </w:p>
    <w:p>
      <w:r>
        <w:t>En l’espèce, N.________ a adressé sa demande au Tribunal d’arrondissement de Lausanne par courrier non signé le 11 juin 2025 (P. 98). Ce courrier est une impression d’un courrier électronique qu’il a adressé le même jour à l’adresse « [...]@gmail.com ». Dans la mesure où elle n’est pas signée, cette demande de révision ne satisfait pas à l’exigence de la forme écrite imposée par l’art. 411 al. 1 CPP. Quoi qu’il en soit, elle doit de toute manière être déclarée irrecevable pour les motifs qui suivent. En effet, la demande de révision formée par N.________ ne remplit pas non plus les conditions de l’art. 410 al. 1 let. a CPP. A l’appui de cette demande, le requérant indique s’être installé au Portugal et avoir été informé qu’il avait été inscrit dans le SIS lors de ses démarches pour renouveler son permis de séjour portugais. Il soutient que cette inscription serait irrégulière dès lors qu’il disposerait de documents européens valides. Force est de constater que, ce faisant, le requérant n’invoque aucun fait ou moyen de preuve nouveau au sens de l’art. 410 al. 1 let. a CPP, susceptible d’ébranler les constatations de fait sur lesquelles repose la décision du Tribunal correctionnel de l’arrondissement de Lausanne d’ordonner l’expulsion du requérant assortie d’un signalement dans le SIS. Par conséquent, il n’y a pas lieu d’entrer en matière sur la demande de révision, celle-ci étant manifestement irrecevable au sens de l’art. 412 al. 2 CPP.</w:t>
      </w:r>
    </w:p>
    <w:p>
      <w:r>
        <w:rPr>
          <w:b/>
        </w:rPr>
        <w:t>E. 3</w:t>
      </w:r>
    </w:p>
    <w:p>
      <w:r>
        <w:t>En définitive, la demande de révision déposée par N.________ doit être déclarée irrecevable, sans échange d’écritures (art. 412 al. 2 CPP). Les frais de la procédure de révision, constitués du seul émolument d'arrêt, par 660 fr. (art. 21 al. 1 TFIP [tarif des frais de procédure et indemnités en matière pénale du 28 septembre 2010 ; BLV 312.03.1], par renvoi de l’art. 22 TFIP),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