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31 vom 17. März 2023</w:t>
      </w:r>
    </w:p>
    <w:p>
      <w:r>
        <w:t>VD Tribunal cantonal, 2023-03-17, FR</w:t>
      </w:r>
    </w:p>
    <w:p>
      <w:r>
        <w:rPr>
          <w:b/>
        </w:rPr>
        <w:t xml:space="preserve">Quelle: </w:t>
      </w:r>
      <w:r>
        <w:t>https://mcp.opencaselaw.ch/entscheid/vd_findinfo_Jug___2025___31</w:t>
      </w:r>
    </w:p>
    <w:p>
      <w:r>
        <w:t>FR: VD_FINDINFO Jug / 2025 / 31 du 17 mars 2023</w:t>
      </w:r>
    </w:p>
    <w:p>
      <w:r>
        <w:t>IT: VD_FINDINFO Jug / 2025 / 31 del 17 marzo 2023</w:t>
      </w:r>
    </w:p>
    <w:p>
      <w:pPr>
        <w:pStyle w:val="Heading2"/>
      </w:pPr>
      <w:r>
        <w:t>Regeste</w:t>
      </w:r>
    </w:p>
    <w:p>
      <w:r>
        <w:t>VIOL, CONTRAINTE SEXUELLE, ABUS DE LA DÉTRESSE, TRIBUNAL FÉDÉRAL, CONDAMNATION | 189 al. 1 CP, 190 al. 1 CP, 193 al. 1 CP</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Dans son arrêt de renvoi, le Tribunal fédéral a en particulier relevé ce qui suit : « 3.1. 3.1.1. Conformément à l'art. 193 al. 1 CP (dans sa teneur avant le 30 juin 2024) celui qui, profitant de la détresse où se trouve la victime ou d'un lien de dépendance fondé sur des rapports de travail ou d'un lien de dépendance de toute autre nature, aura déterminé celle-ci à commettre ou à subir un acte d'ordre sexuel sera puni d'une peine privative de liberté de trois ans au plus ou d'une peine pécuniaire. La question de savoir s'il existe un état de détresse ou un lien de dépendance au sens de l'art. 193 CP et si la capacité de la victime de se déterminer était gravement limitée doit être examinée à la lumière des circonstances du cas d'espèce (ATF 131 IV 114 consid. 1; arrêt 6B_1307/2020 du 19 juillet 2021 consid. 1.2). La situation de détresse ou de dépendance doit être appréciée selon la représentation que s'en font les intéressés (cf. ATF 99 IV 161 consid. 1; arrêts 6B_1307/2020 précité consid. 1.2; 6B_895/2020 du 4 février 2021 consid. 2.4.1 et les références citées). L'art. 193 CP est réservé aux cas où l'on discerne un consentement. Il faut que ce consentement apparaisse motivé par la situation de détresse ou de dépendance dans laquelle se trouve sa victime. Il doit exister une certaine entrave au libre arbitre. L'art. 193 CP envisage donc une situation qui se situe entre l'absence de consentement et le libre consentement qui exclut toute infraction. On vise un consentement altéré par une situation de détresse ou de dépendance dont l'auteur profite. Les limites ne sont pas toujours faciles à tracer. L'infraction doit permettre de réprimer celui qui profite de façon éhontée d'une situation de détresse ou de dépendance, dans un cas où la victime n'aurait manifestement pas consenti sans cette situation particulière (arrêts 6B_1307/2020 précité consid. 1.2; 6B_895/2020 précité consid. 2.4.1 et les arrêts cités). Dans une relation entre un psychothérapeute et son patient, il peut exister un "lien de dépendance de toute autre nature" au sens de l'art. 193 CP (ATF 128 IV 106 consid. 3b p. 112 s.; 124 IV 13 consid. 2c p. 16 ss; arrêt 6B_1307/2020 précité consid. 1.2). Il faut examiner dans chaque cas si ce lien existe et est prouvé. Dans ce contexte, peuvent jouer un rôle, la durée de la thérapie, l'état physique et psychique du patient, l'objet et la nature du traitement, les formes de traitement, le respect (ou son absence) d'une certaine distance par le thérapeute lors des entretiens avec le patient et d'autres circonstances encore. Un rapport de confiance particulier et un lien de dépendance prononcé peuvent faire défaut en raison notamment de la brièveté de la thérapie, de l'absence d'implication personnelle du patient dans le traitement ou dans les entretiens (par exemple, lors d'exercices de comportement psychologiques) ou encore en raison de l'attitude distante, critique, même négative du patient vis-à-vis du thérapeute; ce lien peut toutefois, selon les circonstances, exister après très peu de temps (ATF 131 IV 114 consid. 1; arrêt 6B_1307/2020 précité consid. 1.2; voir aussi, pour une présentation de la casuistique dans la relation thérapeute/patient: PHILIPP MAIER, in Basler Kommentar, Strafrecht II, 4e éd. 2019, no 9 et 10 ad art. 193 CP). Du point de vue subjectif, il faut que l'acte soit intentionnel. L'auteur doit savoir ou tout au moins supposer que la personne concernée n'accepte les actes d'ordre sexuel en question qu'en raison du lien de dépendance existant (ATF 131 IV 114 consid. 1 p. 119 et la jurisprudence citée; arrêt 6B_1307/2020 précité consid. 1.2). 3.1.2. Conformément à l'art. 189 al. 1 CP (dans sa teneur jusqu'au 30 juin 2024),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CP (dans sa teneur jusqu'au 30 juin 2024). Le viol et la contrainte sexuelle supposent l'emploi d'un moyen de contrainte. S'agissant des moyens employés pour contraindre la victime, les dispositions précitées mentionnent notamment la menace et les pressions d'ordre psychique. Selon la jurisprudence, l'auteur profère des menaces lorsque, par ses paroles ou son comportement, il fait volontairement redouter à la victime la survenance d'un préjudice, à l'effet de l'amener à céder. La menace doit faire craindre un préjudice sérieux (ATF 122 IV 97 consid. 2b; arrêt 6B_981/2019 du 12 novembre 2020 consid. 2.2). L'existence d'une menace dans un cas concret doit toujours être évaluée en fonction de l'ensemble des circonstances. Il ne faut pas se fonder uniquement sur des critères objectifs, mais prendre également en compte les points de vue de la victime dans le cadre de l'évaluation du moyen de contrainte ([relativer Massstab]; arrêt 6B_587/2017 du 16 octobre 2017 consid. 4.5.1; cf. également ULRICH WEDER, in StGB/JStG Kommentar, 21e éd. 2022, no 10 ad art. 189 CP; PHILIPP MAIER, op. cit., no 27 ad art. 189 CP). Tout comportement conduisant à un acte sexuel ou à un acte d'ordre sexuel non souhaité ne saurait être qualifié de viol ou de contrainte sexuelle, selon le droit applicable au moment des faits (ATF 131 IV 167 consid. 3.1; arrêt 6B_1057/2021 du 10 février 2022 consid. 2.1). Certes, la loi n'exige pas que la victime soit totalement hors d'état de résister. Le viol et la contrainte sexuelle restent toutefois des délits de violence, de sorte que les pressions d'ordre psychique visées par les art. 189 et 190 CP (dans leur ancienne teneur) doivent revêtir une intensité importante. L'effet produit sur la victime doit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(ATF 131 IV 167 consid. 3.1; arrêts 6B_395/2021 du 11 mars 2022 consid. 3.2.2; 6B_1057/2021 précité consid. 2.1). L'interprétation des art. 189 al. 1 et 190 al. 1 CP (dans leur teneur jusqu'au 30 juin 2024) doit notamment se référer à la question des possibilités raisonnables d'autoprotection de la victime (ATF 131 IV 167 consid. 3.1; 128 IV 106 consid. 3b; arrêt 6B_1057/2021 précité consid. 2.1). Sur le plan subjectif, la contrainte sexuelle et le viol sont des infractions intentionnelles. L'auteur doit savoir que la victime n'est pas consentante ou en accepter l'éventualité (ATF 148 IV 234 consid. 3.4 et les arrêts cités).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consid. 3.4 p. 239 et les arrêts cités). 3.1.3. Lorsque l'auteur profite d'une situation préexistante entraînant une dépendance de la victime envers lui, c'est l'infraction définie à l'art. 193 CP qui entre en considération. Les spécificités du rapport de dépendance et la faiblesse particulière de la victime influencent alors, sous l'angle de la faute, la sanction. En revanche, le juge appliquera les art. 189 ou 190 CP si l'auteur contribue à ce que la victime se trouve (subjectivement) dans une situation sans issue en usant de moyens d'action excédant la seule exploitation de la situation de dépendance, et que la pression exercée atteigne l'intensité qui caractérise la contrainte. Il convient de déterminer dans chaque cas à partir de quand le rapport de dépendance de l'art. 193 CP se transforme en pressions psychiques selon les art. 189 et 190 CP (dans leur teneur jusqu'au 30 juin 2024), en tenant compte, en particulier, du fait que ces deux dernières normes répriment des infractions de violence. Elles doivent ainsi être interprétées dans la perspective des moyens que l'on peut attendre que la victime oppose. L'importance de l'influence exercée a, dans ce contexte, une portée décisive (ATF 128 IV 106 consid. 3b; arrêts 6B_1307/2020 du 19 juillet 2021 consid. 2.1; 6B_785/2011 du 29 juin 2012 consid. 4.1; cf. ATF 146 IV 153 consid. 3.5.9). (…) 3.3. Pour déterminer si, au regard du droit applicable au moment des faits, l'intimé 3 [ndlr : Z.________] a fait usage d'un moyen de contrainte qui outrepasse la seule exploitation de la situation de détresse ou du lien de dépendance, ainsi que le soutient la recourante, il convient de procéder à une appréciation globale des circonstances concrètes déterminantes. 3.3.1. Il ressort des faits établis par la cour cantonale et incontestés à ce stade (art. 105 al. 1 LTF), que le jour du premier contact téléphonique entre les intéressés, l'intimé 3 a rappelé la recourante pour lui confirmer que quelqu'un lui avait fait du mal et que le diable était sur elle. Affirmant pouvoir l'aider, il a insisté pour la rencontrer et, après l'avoir fait monter dans son véhicule et lui avoir lu une sourate, il s'est approché d'elle et lui a touché les parties intimes avant de tenter de l'embrasser. La recourante a alors protesté. À ce stade, aucun élément ne permet de retenir un état de dépendance entre les intéressés, qui venaient de se rencontrer et étaient entrés en contact téléphoniquement le même jour. D'ailleurs, la recourante a su marquer son désaccord en protestant lors de l'attouchement et de la tentative d'obtenir un baiser. La nature de la relation entre les protagonistes ne saurait être assimilée à un lien de dépendance issu d'une relation entre un psychothérapeute et sa patiente (cf. supra consid. 3.1.1 in fine). En tout état, d'une part, le prétendu "processus de guérison" n'a été évoqué par l'intimé 3 que le lendemain, de sorte que ce processus n'avait pas encore commencé, et d'autre part, la recourante avait été en mesure de marquer une distance claire le jour de la rencontre. Aussi, il n'existait pas de "lien de dépendance de toute autre nature" au sens de l'art. 193 CP. En outre, le déroulement des faits tel qu'établi par la cour cantonale ne permet pas de discerner un état de détresse préexistant, de nature à entraver sérieusement la recourante dans sa liberté de décision ou de résistance (cf. ATF 133 IV 49 consid. 4), puisqu'elle a précisément pu exercer un acte de résistance. S'agissant des rencontres suivantes, il ressort des faits établis que l'intimé 3 a téléphoné à la recourante le lendemain de la rencontre précitée et lui a ordonné de coucher avec lui, exposant que cela faisait partie du "processus de guérison". Il a précisé qu'il lui enverrait du mal si elle refusait. Lors des épisodes suivants, l'intimé 3 l'a convaincue d'entretenir avec lui une relation sexuelle complète en usant du même stratagème, en la persuadant que le mauvais oeil était sur elle et que lui seul était en mesure de l'aider. À nouveau, il est douteux qu'un lien de dépendance au sens de l'art. 193 CP était formé lorsque l'intimé</w:t>
      </w:r>
    </w:p>
    <w:p>
      <w:r>
        <w:rPr>
          <w:b/>
        </w:rPr>
        <w:t>E. 2.2</w:t>
      </w:r>
    </w:p>
    <w:p>
      <w:r>
        <w:t>Les conditions objectives de l’infraction de viol étant réalisées, il reste à examiner si les conditions subjectives de cette infraction (cf. consid. 2.1/3.1.2 ci-dessus), le sont également. En l’occurrence, il apparaît que Z.________ avait dès le départ l’intention d’entretenir des rapports sexuels avec la plaignante. Ainsi, lors de leur premier contact téléphonique, il lui a demandé une photo d’elle ; il lui a donné rendez-vous à Genève le jour suivant, l’a fait monter dans sa voiture, a tenté de lui toucher les parties intimes et de l’embrasser. A cet instant, elle lui a immédiatement fait part de son désaccord, marquant ainsi une distance claire dès leur rencontre. Compte tenu de ce refus, Z.________ a su que s’il voulait obtenir des faveurs sexuelles de la part de F.________, il devrait mettre en place une stratégie pour vaincre la résistance de sa victime. Dans ce contexte, il lui a dit que si elle voulait guérir elle devait entretenir une relation sexuelle avec lui et lui a demandé de venir à son domicile, « apprêtée », précisant que si elle se refusait à lui, il lui enverrait « le mal ». L’intimé a immédiatement, soit dès les premiers instants de sa rencontre avec l’appelante, exigé une relation sexuelle, ce qui en dit long sur ses intentions et l’absence de toute considération vis-à-vis des difficultés personnelles pour lesquelles sa victime venait solliciter son aide. En agissant de la sorte, Z.________ a, en toute connaissance de cause, brisé l’opposition manifestée par l’appelante pour obtenir des prestations sexuelles malgré le refus qu’elle lui avait signifié. Il a agi avec conscience et volonté pour contraindre sa victime à subir trois rapports sexuels complets. Les éléments objectifs et subjectifs étant réalisés, Z.________ sera reconnu coupable de viol au sens de l’art. 190 aCP (dans sa version antérieure au 1 er janvier 2024).</w:t>
      </w:r>
    </w:p>
    <w:p>
      <w:r>
        <w:rPr>
          <w:b/>
        </w:rPr>
        <w:t>E. 3</w:t>
      </w:r>
    </w:p>
    <w:p>
      <w:r>
        <w:t>agît contre elle par des voies occultes et c'est par "craintes de représailles" qu'elle s'est rendue chez lui. Ce dernier, à qui la recourante avait indiqué qu'elle n'était pas bien et que quelqu'un lui faisait du mal, connaissait la situation personnelle de celle-ci. Dans ces circonstances, les menaces et le stratagème employés étaient de nature à engendrer chez la recourante une pression psychique d'une intensité importante, visant à briser sa résistance, contrairement à ce que prétend l'intimé 3 dans ses déterminations. En interprétant le comportement de l'intimé 3 dans la perspective des moyens que l'on peut attendre que la victime oppose, les éléments retenus en l'espèce suffisent à admettre que le premier a usé de menaces et a induit une pression psychique importante pour obtenir des faveurs sexuelles de la part de la recourante, qui avait marqué son opposition lors de la première rencontre. S'il fallait, par la suite, discerner un consentement de la recourante aux actes sexuels, celui-ci n'a pas seulement été altéré par une situation de détresse ou un lien de dépendance, mais a été obtenu par des moyens supplémentaires caractéristiques de la contrainte psychique (cf. en ce sens arrêt 6B_97/2013 du 15 avril 2013 consid. 3.4.1 et 3.5, concernant notamment l'instrumentalisation du rapport patient/soignant et de la dépendance de personnes fragilisées dans le cadre de jeux de rôle pour retrouver leur "vie de femme" ; ATF 131 IV 167 consid. 3.3, concernant l'auteur de menaces d'atteintes graves aux proches d'une victime adulte ; arrêt 6S.143/2002 du 11 juin 2002 consid. 3, concernant une patiente HIV dont le thérapeute prétendait que ses soins auraient permis d'éviter le développement du virus du SIDA). Ainsi, même à admettre l'existence d'une situation de détresse préexistante, voire un lien de dépendance à ce stade, l'intimé 3 a usé de moyens d'action excédant la seule exploitation de cette situation. L'existence de rapports sexuels complets à trois reprises est établie et n'est pas contestée conformément aux exigences requises (cf. art. 106 al. 2 LTF). Au vu de ce qui précède, la cour cantonale a violé le droit fédéral en écartant l'infraction prévue à l'art. 190 CP (dans sa teneur jusqu'au 30 juin 2024) pour les faits commis par l'intimé 3, au motif qu'il aurait profité d'un lien de dépendance préexistant. Le recours doit être admis sur ce point et la cause renvoyée à la cour cantonale afin qu'elle examine les conditions subjectives de l'infraction de viol, et traite, cas échéant, les points qui en découlent. 3.3.2. Pour le surplus, la recourante ne tente d'aucune manière de démontrer dans quelle mesure la cour cantonale aurait violé le droit fédéral en écartant l'infraction de contrainte sexuelle (art. 189 CP, dans sa teneur jusqu'au 30 juin 2024) pour les faits reprochés à l'intimé 3. En particulier, elle ne prétend pas qu'un acte analogue à l'acte sexuel ou d'autres actes d'ordre sexuel auraient été commis par celui-ci. En définitive, la recourante échoue à démontrer dans quelle mesure la cour cantonale aurait violé le droit fédéral quant à la qualification du complexe de faits du jour de la rencontre. ».</w:t>
      </w:r>
    </w:p>
    <w:p>
      <w:r>
        <w:rPr>
          <w:b/>
        </w:rPr>
        <w:t>E. 3.1</w:t>
      </w:r>
    </w:p>
    <w:p>
      <w:r>
        <w:t>Z.________ devant être condamné pour trois épisodes de viol, il convient de fixer la peine.</w:t>
      </w:r>
    </w:p>
    <w:p>
      <w:r>
        <w:rPr>
          <w:b/>
        </w:rPr>
        <w:t>E. 3.2.1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3.2.2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w:t>
      </w:r>
    </w:p>
    <w:p>
      <w:r>
        <w:rPr>
          <w:b/>
        </w:rPr>
        <w:t>E. 3.3</w:t>
      </w:r>
    </w:p>
    <w:p>
      <w:r>
        <w:t>En l’occurrence, la culpabilité de Z.________ est lourde. Il a élaboré un stratagème fondé sur ses prétendues facultés de « guérisseur » pour mettre en place des moyens de contrainte sur sa victime afin d’assouvir ses pulsions sexuelles en annihilant les capacités de résistance de cette dernière dont il connaissait les fragilités. L’intimé a exploité, sur la durée, la situation de contrainte créée, obtenant plusieurs relations sexuelles. Il n’a eu absolument aucune considération pour sa victime, profitant lâchement de la situation de détresse personnelle dans laquelle elle se trouvait pour arriver plus facilement à ses fins. Ses agissements sont d’autant plus graves à cet égard. L’intimé ne montre en outre aucun signe quelconque de remise en question, persistant à nier tout acte sexuel avec la plaignante. Cette attitude, qui fait obstacle à toute prise de conscience, est particulièrement préoccupante s’agissant d’un individu qui s’affiche comme « guérisseur » et prétend exercer en cette qualité. L’absence d’antécédents au casier judiciaire de l’intimé au moment des faits est un élément neutre (ATF 142 IV 61 consid. 6.3.2). Les trois viols entrent en concours au sens de l’art. 49 al. 1 CP. Etant donné la nature et la gravité des infractions commises, ainsi que de l’attitude de déni dans laquelle il s’est enferré, une peine privative de liberté de six ans devrait être prononcée, les trois viols devant être considérés comme étant de gravité identique. Compte tenu des éléments à décharge, à savoir l’ancienneté des faits et la reconnaissance de dettes signée par l’intimé à l’audience d’appel, ainsi que du concours rétrospectif se rapportant à la peine privative de liberté de 12 mois infligée à l’intimé en 2021, c’est en définitive une peine privative de liberté entièrement complémentaire de 4 ans qui doit être prononcée à son encontre.</w:t>
      </w:r>
    </w:p>
    <w:p>
      <w:r>
        <w:rPr>
          <w:b/>
        </w:rPr>
        <w:t>E. 4</w:t>
      </w:r>
    </w:p>
    <w:p>
      <w:r>
        <w:t>Dans sa déclaration d’appel, l’appelante avait conclu à l’allocation d’une indemnité en tort moral de 3'000 fr. avec intérêts à 5 % l’an dès le 1er janvier 2013. La victime est une femme en souffrance psychologique sévère et au parcours de vie marqué par des traumatismes. Il n’en demeure pas moins que les violences sexuelles infligées par l’intimé justifient pleinement l’allocation de l’indemnité en tort moral qu’elle a requise, que ce soit dans son principe que pour sa quotité, étant rappelé que l’intimé s’est reconnu débiteur du montant réclamé à l’audience d’appel (cf. p. 3 du jugement).</w:t>
      </w:r>
    </w:p>
    <w:p>
      <w:r>
        <w:rPr>
          <w:b/>
        </w:rPr>
        <w:t>E. 5.1</w:t>
      </w:r>
    </w:p>
    <w:p>
      <w:r>
        <w:t>En définitive, l’appel de F.________ doit être partiellement admis et le jugement entrepris modifié dans le sens des considérants qui précèdent.</w:t>
      </w:r>
    </w:p>
    <w:p>
      <w:r>
        <w:rPr>
          <w:b/>
        </w:rPr>
        <w:t>E. 5.2</w:t>
      </w:r>
    </w:p>
    <w:p>
      <w:r>
        <w:t>Compte tenu de la condamnation de l’intimé, il convient de mettre une partie des frais de justice de première instance, par 13'763 fr. 10, à sa charge, ces frais comprenant notamment la moitié de l’indemnité allouée au conseil juridique gratuit de F.________ et la totalité de l’indemnité de son défenseur d’office. Le solde sera laissé à la charge de l’Etat. Z.________ sera tenu de rembourser à l’Etat le montant d’indemnité du conseil juridique gratuit et de son défenseur d’office mis à sa charge dès que sa situation financière le permettra (art. 135 al. 4 et 138 CPP).</w:t>
      </w:r>
    </w:p>
    <w:p>
      <w:r>
        <w:rPr>
          <w:b/>
        </w:rPr>
        <w:t>E. 5.3</w:t>
      </w:r>
    </w:p>
    <w:p>
      <w:r>
        <w:t>Pour la procédure d’appel antérieure à l’arrêt du Tribunal fédéral du 23 septembre 2024 et conformément au jugement rendu le 4 septembre 2023 par la Cour d’appel pénale, une indemnité de 626 fr. 75, TVA et débours inclus, sera allouée à Me Paul Arthur Treyvaud, et une indemnité de 2'156 fr. 05, TVA et débours inclus, sera allouée à Me Baris Bostan, défenseurs d’office de Z.________. Une indemnité de 2’597 fr. 60 fr., TVA et débours inclus, sera allouée à Me Lida Lavi, conseil juridique gratuit de F.________. Vu l’issue de la cause, la moitié des émoluments de jugement et d’audience antérieurs à l’arrêt du Tribunal fédéral du 23 septembre 2024, par 1'285 fr., les indemnités des défenseurs d’office de l’intimé, par 2'782 fr. 80, et la moitié de l’indemnité du conseil juridique gratuit de l’appelante, par 1'298 fr. 80, sont mis à la charge de Z.________, le solde étant laissé à la charge de l’Etat. Z.________ sera tenu de rembourser à l’Etat le montant d’indemnité du conseil juridique gratuit et de son défenseur d’office mis à sa charge dès que sa situation financière le permettra (art. 135 al. 4 CPP et 138 CPP).</w:t>
      </w:r>
    </w:p>
    <w:p>
      <w:r>
        <w:rPr>
          <w:b/>
        </w:rPr>
        <w:t>E. 5.4</w:t>
      </w:r>
    </w:p>
    <w:p>
      <w:r>
        <w:t>Pour la procédure postérieure à l’arrêt du Tribunal fédéral du 23 septembre 2024, Me Baris Bostan a produit une liste d’opérations faisant état d’une activité de 7h55 (P. 85). On peut admettre ce temps en adaptant la durée de l’audience, qui a durée 1h00 au lieu des 2h00 estimées. C’est ainsi une indemnité d’office d’un montant total de 1'502 fr. 50, correspondant à 6h55 d’activité au tarif horaire d’avocat de 180 fr., par 1’245 fr. des débours à concurrence de 2 % (art. 3bis al. 1 RAJ [règlement sur l’assistance judiciaire en matière civile du 7 décembre 2010 ; BLV 211.02.3], applicable par renvoi de l’art. 26b TFIP [tarif des frais de procédure et indemnités en matière pénale du 28 septembre 2010 ; BLV 312.03.1]), par 24 fr. 90, une vacation à 120 fr. et la TVA, par 112 fr. 60, qui sera allouée au défenseur d’office de l’appelant. Me Lida Lavi, conseil juridique gratuit de F.________ a produit une liste d’opérations faisant état d’une activité de 13h30, ce qui est un peu excessif. Il convient de retrancher 1h30 du poste conférence cliente et 2h30 de préparation de l’audience. En effet, Me Lavi était déjà le conseil de la plaignante, en première instance et lors de la première procédure d’appel, de sorte qu’elle connaissait bien le dossier et ses enjeux. On déduira encore 1h30 pour le déplacement, celui-ci étant indemnisé au tarif forfaitaire de 120 fr. pour une vacation. Enfin, l’audience a duré 1h00 et non 2h00, de sorte qu’une heure sera encore retranchée à ce titre. En définitive c’est une indemnité totale d’un montant de 1'519 fr. correspondant à 7h00 d’activité au tarif horaire d’avocat de 180 fr., par 1’260 fr. des débours à concurrence de 2 %, par 25 fr. 20, une vacation à 120 fr. et la TVA, par 113 fr. 80, qui sera allouée au conseil juridique gratuit de F.________. Les frais d’appel postérieurs à l’arrêt du Tribunal fédéral du 23 septembre 2023, par 5'621 fr. 50, constitués de l'émolument du présent jugement, par 2’600 fr. (art. 21 al. 1 TFIP), et des indemnités allouées au défenseur d'office de Z.________ par 1'502 fr. 50 et au conseil juridique gratuit de F.________ par 1'519 fr.,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