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309 vom 16. Mai 2023</w:t>
      </w:r>
    </w:p>
    <w:p>
      <w:r>
        <w:t>VD Tribunal cantonal, 2023-05-16, FR</w:t>
      </w:r>
    </w:p>
    <w:p>
      <w:r>
        <w:rPr>
          <w:b/>
        </w:rPr>
        <w:t xml:space="preserve">Quelle: </w:t>
      </w:r>
      <w:r>
        <w:t>https://mcp.opencaselaw.ch/entscheid/vd_findinfo_Jug___2025___309</w:t>
      </w:r>
    </w:p>
    <w:p>
      <w:r>
        <w:t>FR: VD_FINDINFO Jug / 2025 / 309 du 16 mai 2023</w:t>
      </w:r>
    </w:p>
    <w:p>
      <w:r>
        <w:t>IT: VD_FINDINFO Jug / 2025 / 309 del 16 maggio 2023</w:t>
      </w:r>
    </w:p>
    <w:p>
      <w:pPr>
        <w:pStyle w:val="Heading2"/>
      </w:pPr>
      <w:r>
        <w:t>Regeste</w:t>
      </w:r>
    </w:p>
    <w:p>
      <w:r>
        <w:t>LÉSION CORPORELLE SIMPLE, VIOLATION DU DEVOIR D'ASSISTANCE OU D'ÉDUCATION, EXPULSION{DROIT PÉNAL}, ESCROQUERIE, ASTUCE | 123 ch. 1 al. 1 CP, 123 ch. 2 al. 2 CP, 146 al. 1 CP, 219 al. 1 CP, 220 CP, 251 ch. 1 CP, 66a bis CP, 115 al. 1 let. b LEI</w:t>
      </w:r>
    </w:p>
    <w:p>
      <w:pPr>
        <w:pStyle w:val="Heading2"/>
      </w:pPr>
      <w:r>
        <w:t>Erwägungen</w:t>
      </w:r>
    </w:p>
    <w:p>
      <w:r>
        <w:rPr>
          <w:b/>
        </w:rPr>
        <w:t>E. 1.1</w:t>
      </w:r>
    </w:p>
    <w:p>
      <w:r>
        <w:t>Selon l’art. 368 al. 1 CPP, si le jugement rendu par défaut peut être notifié personnellement au condamné, celui-ci doit être informé de son droit de demander un nouveau jugement au tribunal dans les dix jours, par écrit ou oralement. Cet article n’a d’autre portée que de permettre de déterminer le point de départ du délai de dix jours pour demander un nouveau jugement (TF 6B_346/2011 du 1 er juillet 2011 consid. 3). Pour faire partir le délai de dix jours, il faut que le jugement ait été notifié personnellement au condamné (JdT 2015 III 145 ; Thalmann, Commentaire romand, Code de procédure pénale suisse, 2 e éd. 2019, n. 4 ad art. 368 CPP ; Moreillon/Parein-Reymond, Petit commentaire, Code de procédure pénale, 2 e éd. 2016, n. 4 ad art. 368 CPP ; CAPE 22 août 2024/386 ; CAPE 12 mars 2024/193). La notification personnelle exclut la notification à l’avocat du condamné absent, de même qu’une notification dans la Feuille des avis officiels, et a lieu aux conditions des art. 85 à 87 CPP (Thalmann, op. cit ., n. 3 ad art. 368 CPP ; Moreillon/Parein-Reymond, op. cit. , n. 4 ad art. 368 CPP). Selon l’art. 371 al. 1 CPP, tant que court le délai d’appel, le condamné peut faire une déclaration d’appel contre un jugement rendu par défaut parallèlement à sa demande de nouveau jugement ou au lieu de celle-ci ; il doit en être informé conformément à l’art. 368 al. 1 CPP. Le délai d’appel part en même temps que le délai pour demander un nouveau jugement, soit au moment de la notification personnelle (Thalmann, op. cit ., n. 2 ad art. 371 CPP).</w:t>
      </w:r>
    </w:p>
    <w:p>
      <w:r>
        <w:rPr>
          <w:b/>
        </w:rPr>
        <w:t>E. 1.2</w:t>
      </w:r>
    </w:p>
    <w:p>
      <w:r>
        <w:t>En l’espèce, bien que régulièrement assigné par pli recommandé, l’appelant ne s’est pas présenté aux débats du Tribunal de police de La Broye et du Nord vaudois qui ont eu lieu les 3 avril et 8 mai 2023, de sorte que le premier juge a engagé la procédure par défaut en application de l’art. 366 al. 2 CPP. Le dispositif et la motivation du jugement du 16 mai 2023 ont ainsi été notifiés le 15 avril 2025 à l’appelant personnellement, de sorte que les délais des art. 368 al. 1 CPP et 371 al. 1 CPP ont commencé à courir à cette date.</w:t>
      </w:r>
    </w:p>
    <w:p>
      <w:r>
        <w:rPr>
          <w:b/>
        </w:rPr>
        <w:t>E. 1.3</w:t>
      </w:r>
    </w:p>
    <w:p>
      <w:r>
        <w:t>Interjeté dans les formes et délais légaux par une partie ayant qualité pour recourir contre le jugement d’un tribunal de première instance qui a clos la procédure (art. 398 al. 1 CPP), l’appel est recevable, étant précisé que l’appelant n’a pas déposé de demande de nouveau jugement en parallèle.</w:t>
      </w:r>
    </w:p>
    <w:p>
      <w:r>
        <w:rPr>
          <w:b/>
        </w:rPr>
        <w:t>E. 1.4</w:t>
      </w:r>
    </w:p>
    <w:p>
      <w:r>
        <w:t>Dès lors que la présence du prévenu aux débats d’appel n’est pas indispensable et que l’appel est dirigé contre un jugement rendu par un juge unique, l’appel est traité, avec l’accord des parties, en procédure écrite conformément à l’art.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requiert tout d’abord la production par « les services de protection de l’enfance français » du dossier « relatif à la situation familiale ».</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w:t>
      </w:r>
    </w:p>
    <w:p>
      <w:r>
        <w:rPr>
          <w:b/>
        </w:rPr>
        <w:t>E. 3.3</w:t>
      </w:r>
    </w:p>
    <w:p>
      <w:r>
        <w:t>Outre que l’appelant ne désigne pas avec suffisamment de précision quelle serait l’autorité compétente française, alors que manifestement il la connaît en raison de son domicile en France, et qu’il ne désigne pas non plus avec suffisamment de précision le dossier dont il souhaite la production, ces documents ne sont pas nécessaires au traitement de l’appel pour statuer sur les infractions de lésions corporelles simples qualifiées et de violation du devoir d’assistance ou d’éducation. On peut d’ailleurs relever que si l’appelant souhaitait faire compléter l’instruction de sa cause, il lui appartenait de présenter une demande de nouveau jugement et non de se limiter à faire appel à l’encontre du jugement rendu par défaut. La réquisition de production de pièce doit dès lors être rejetée.</w:t>
      </w:r>
    </w:p>
    <w:p>
      <w:r>
        <w:rPr>
          <w:b/>
        </w:rPr>
        <w:t>E. 4.1</w:t>
      </w:r>
    </w:p>
    <w:p>
      <w:r>
        <w:t>L’appelant conteste sa condamnation pour lésions corporelles simples qualifiées et violation du devoir d’assistance ou d’éducation. Il invoque d’abord une constatation incomplète des faits et une violation de la présomption d’innocence. Il remet en cause la crédibilité des déclarations de ses enfants, en raison du jeune âge de ceux-ci au moment des dénonciations et de l’interprétation subjective que le premier juge a fait de certains constats, comme les pleurs en classe qui pourraient s’expliquer autrement que par des mauvais traitements. Il se prévaut en outre de la teneur des certificats médicaux versés au dossier, dont il ne résulterait aucune suspicion de maltraitance.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[ci-après : CR-CPP],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CR-CPP, n. 34 ad art. 10 CPP et les références citées).</w:t>
      </w:r>
    </w:p>
    <w:p>
      <w:r>
        <w:rPr>
          <w:b/>
        </w:rPr>
        <w:t>E. 4.3</w:t>
      </w:r>
    </w:p>
    <w:p>
      <w:r>
        <w:t>Avec le premier juge, il faut considérer que les faits de maltraitance commis par l’appelant à l’encontre de ses enfants sont largement démontrés par les déclarations concordantes de B.A.________, F.A.________ et U.A.________, lesquels ont fait état de manière constante des sévices subis auprès des éducateurs, des enseignants et, ensuite, auprès de la police. Ils évoquent en effet tous les trois les mêmes sévices physiques infligés par leur père, avec des récits contextualisés par de nombreux détails qui les rendent particulièrement crédibles. En outre, et quoi qu’en dise l’appelant, des lésions ont bien été constatées par les enseignants et les éducateurs de l’UAPE. En effet, une enseignante a constaté – après que F.A.________ est arrivée en pleurs le 27 août 2019 à l’école en disant que son papa l’avait tapée avec une ceinture et qu’elle se faisait souvent taper de cette manière – des marques visibles sur le pied, étant précisé que F.A.________ avait également mentionné des marques sur la cuisse qui n’ont toutefois pas pu être constatées par l’enseignante, puisque l’enfant portait un pantalon (P. 37 ; Signalement de l’école de [...] du 28 août 2019 – « Déroulement de la rencontre du 28 août 2019 au sujet des enfants [...] ») . De plus, pour faire suite à une discussion qu’elles avaient eue plus tôt dans la journée, une des éducatrices de l’UAPE a demandé à prendre des photographies des marques liées aux coups que F.A.________ avait reçus de son père, ce qu’elle a refusé dans un premier temps, dès lors que son père le lui interdisait, avant de finalement accepter de les montrer, puis de raconter en détail ce qu’elle vivait (P. 37 ; Signalement de l’UAPE de [...] du 16 juin 2020 – Retour de [...] sur la discussion avec F.A.________, 15.06.2020 à 15 :30 »). De même, il ressort notamment de la dénonciation pénale établie par la DGEJ le 18 juin 2020 (P. 4) que des « [m] arques de coups sur les oreilles de deux des trois enfants » ont été constatées. Il appert d’ailleurs des pièces du dossier que même la mère des enfants a constaté des lésions sur sa fille F.A.________, laquelle boîtait après avoir été corrigée par son père, en raison du feu allumé sur le balcon (P. 37 ; Signalement de l’école de [...] du 28 août 2019 - « Déroulement de la rencontre du 28 août 2019 au sujet des enfants [...] ») . Il est enfin relevé que les récits des enfants sont également corroborés par les troubles du comportement constatés (pleurs en classe, fatigue, crises, peur d’être laissés seuls, terreurs nocturnes notamment) qui démontrent encore, si nécessaire, la réalité des mauvais traitements. Ces constats ne reposent donc pas sur des impressions subjectives de l’autorité de première instance, mais bien sur des constats objectifs de tiers qualifiés (enseignants, éducateurs et autorité de protection de l’enfance). Quant aux certificats médicaux invoqués (P. 30 à 32), le premier émane d’une médecin qui ne connaît pas les enfants et qui a communiqué des informations très générales sur leur suivi pédiatrique, sur la base du dossier de son confrère et d’un téléphone avec ce dernier (P. 30). Le deuxième a été établi par le chef de pédiatrie du CHUV et concerne uniquement les consultations en urgence à l’hôpital pour des pathologies simples, soit par exemple les otites et les bronchites (P. 31) et le dernier émane d’une pédiatre qui n’a jamais rencontré les enfants (P. 32). Rien dans ces constats ne permet donc d’infirmer ceux effectués dans un contexte social ou scolaire et le fait que les pédiatres, lors de contrôles de santé, n’aient rien remarqué ne remet pas en question l’ensemble des autres éléments probatoires évoqués ci-dessus. Au vu de ce qui précède, les faits ont donc été retenus sans violation de la présomption d’innocence.</w:t>
      </w:r>
    </w:p>
    <w:p>
      <w:r>
        <w:rPr>
          <w:b/>
        </w:rPr>
        <w:t>E. 5.1</w:t>
      </w:r>
    </w:p>
    <w:p>
      <w:r>
        <w:t>L’appelant invoque ensuite une violation des art. 123 ch. 1 et 2 al. 2 CP. Il se prévaut de l’absence de constats médicaux permettant de mettre en lien la marque sur le pied de l’enfant F.A.________ et une prétendue maltraitance. En outre, il indique que les purges imposées aux enfants correspondaient à des actes « à caractère médical ».</w:t>
      </w:r>
    </w:p>
    <w:p>
      <w:r>
        <w:rPr>
          <w:b/>
        </w:rPr>
        <w:t>E. 5.2</w:t>
      </w:r>
    </w:p>
    <w:p>
      <w:r>
        <w:t>Selon l’art. 123 ch. 1 aCP, applicable en l’espèce dès lors que le nouveau droit n’est pas plus favorable au prévenu (cf. art. 2 CP), est puni pour lésions corporelles simples celui qui, intentionnellement, aura fait subir à une personne une autre atteinte à l’intégrité corporelle ou à la santé que celles prévues à l’art. 122 CP. L’art. 123 ch. 2 al. 2 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précité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w:t>
      </w:r>
    </w:p>
    <w:p>
      <w:r>
        <w:rPr>
          <w:b/>
        </w:rPr>
        <w:t>E. 5.3</w:t>
      </w:r>
    </w:p>
    <w:p>
      <w:r>
        <w:t>En réalité, l’appelant se fonde sur un autre état de fait que celui retenu en invoquant la seule blessure au pied de F.A.________ et en se prévalant à nouveau de l’absence de constat médical. En effet, selon les faits retenus (cf. supra let. C, ch. 2.1), les enfants ont souffert de coups de ceinture, d’entailles dans le dos provoquant des saignements, de coups assénés avec la main, les pieds ou au moyen de divers objets (ustensiles de cuisine, appareils téléphoniques et chaussures notamment), alors qu’ils étaient parfois obligés de se ternir en pièce droite pendant les sévices ou alors obligés de compter durant des heures avant le coucher. D’une manière générale, les enfants ont gravement souffert sur le plan psychique et subi de graves atteintes sous les formes évoquées ci-dessus, de sorte que les mauvais traitements infligés constituaient indéniablement des lésions corporelles. A cela s’ajoute que les purges forcées, traumatisantes, ne trouvent évidemment aucune justification sur le plan médical. Au vu de ce qui précède, A.A.________ doit être condamné pour lésions corporelles simples qualifiées.</w:t>
      </w:r>
    </w:p>
    <w:p>
      <w:r>
        <w:rPr>
          <w:b/>
        </w:rPr>
        <w:t>E. 6.1</w:t>
      </w:r>
    </w:p>
    <w:p>
      <w:r>
        <w:t>L’appelant conteste également sa condamnation pour violation du devoir d’assistance ou d’éducation. Il prétend qu’une mise en danger durable du développement des enfants n’est pas démontrée.</w:t>
      </w:r>
    </w:p>
    <w:p>
      <w:r>
        <w:rPr>
          <w:b/>
        </w:rPr>
        <w:t>E. 6.2</w:t>
      </w:r>
    </w:p>
    <w:p>
      <w:r>
        <w:t>Selon l’art. 219 aCP, applicable en l’espèce dès lors que le nouveau droit n’est pas plus favorable au prévenu (cf. art.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(ATF 149 IV 240 consid. 2.2 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ibidem ).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 idem et la référence citée).</w:t>
      </w:r>
    </w:p>
    <w:p>
      <w:r>
        <w:rPr>
          <w:b/>
        </w:rPr>
        <w:t>E. 6.3</w:t>
      </w:r>
    </w:p>
    <w:p>
      <w:r>
        <w:t>En l’espèce, il n’est pas contesté que A.A.________ avait une position de garant envers ses six enfants. Toutefois, à nouveau, l’appelant s’écarte de l’état de fait retenu, en plaidant que le développement de ses enfants n’aurait pas été mis concrètement en danger. En effet, il est établi que les enfants ont subi des sévices de manière répétée et sur une longue période. Le climat de terreur que l’appelant a fait régner a entraîné des répercussions concrètes constatées par les différents intervenants sociaux, à savoir des pleurs en classe, de la fatigue, des crises, de la peur d’être laissés seuls, des terreurs nocturnes et des violences verbales et physiques envers leurs camarades, voire les adultes notamment. Celles-ci constituent à l’évidence une atteinte durable au développement des enfants. Sur le plan subjectif, l’appelant, en raison de la durée, de l’ampleur et de la diversité des mauvais traitements infligés ne pouvait ignorer les dégâts physiques et psychiques qu’il causait. Partant, c’est à juste titre que le premier juge a considéré que les éléments objectifs et subjectifs définis à l’art. 219 CP étaient réalisés. La condamnation de l’appelant pour violation du devoir d’assistance ou d’éducation doit donc être confirmée.</w:t>
      </w:r>
    </w:p>
    <w:p>
      <w:r>
        <w:rPr>
          <w:b/>
        </w:rPr>
        <w:t>E. 7.1</w:t>
      </w:r>
    </w:p>
    <w:p>
      <w:r>
        <w:t>L’appelant conteste sa condamnation pour escroquerie. Il se prévaut de l’absence d’astuce de son comportement.</w:t>
      </w:r>
    </w:p>
    <w:p>
      <w:r>
        <w:rPr>
          <w:b/>
        </w:rPr>
        <w:t>E. 7.2</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précité consid. 3.2 ; ATF 142 IV 153 consid. 2.2.2 ; ATF 135 IV 76 consid. 5.2). Il y a notamment manœuvre frauduleuse lorsque l’auteur fait usage de titres falsifiés ou obtenus sans droit ou de documents mensongers (ATF 128 IV 18 consid. 3a ; TF 6B_1092/2023 du 24 mai 2024 consid. 2.2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Sur le plan objectif, la réalisation de l’escroquerie suppose donc une tromperie, une astuce, une induction en erreur, un acte de disposition et un dommage, ainsi qu’un lien de causalité entre les éléments qui précèdent (Dupuis et al. [éd.], Code pénal, Petit commentaire, 2 e éd., Bâle 2017, n. 1 ad art. 146 CP). L’escroquerie implique en effet que l’erreur ait déterminé la dupe à disposer de son patrimoine. Il faut ainsi un acte de disposition effectué par la dupe et un lien de motivation entre cet acte et l’erreur (ATF 128 IV 255 consid. 2e/aa ; TF 6B_290/2021 du 4 mai 2022 consid. 2.1).</w:t>
      </w:r>
    </w:p>
    <w:p>
      <w:r>
        <w:rPr>
          <w:b/>
        </w:rPr>
        <w:t>E. 7.3</w:t>
      </w:r>
    </w:p>
    <w:p>
      <w:r>
        <w:t>En l’espèce, l’astuce réside clairement dans l’usage de plusieurs faux qui ont induit la victime – le bailleur – en erreur, dès lors qu’elle s’est faite une représentation erronée de la solvabilité du locataire. Cette tromperie est d’autant plus astucieuse que l’appelant lui a produit un extrait du registre des poursuites falsifié. Le bailleur ne pouvait donc douter de la véracité des documents produits, de sorte que la condition de l’astuce est réalisée. Partant, c’est à juste titre que le tribunal a considéré que les éléments objectifs et subjectifs définis à l’art. 146 al. 1 CP étaient réalisés. La condamnation de l’appelant pour escroquerie doit donc être confirmée.</w:t>
      </w:r>
    </w:p>
    <w:p>
      <w:r>
        <w:rPr>
          <w:b/>
        </w:rPr>
        <w:t>E. 8.1</w:t>
      </w:r>
    </w:p>
    <w:p>
      <w:r>
        <w:t>L’appelant invoque une violation de la maxime d’accusation. Il fait valoir que les infractions antérieures au mois d’août 2019 ne seraient pas suffisamment décrites dans l’acte d’accusation.</w:t>
      </w:r>
    </w:p>
    <w:p>
      <w:r>
        <w:rPr>
          <w:b/>
        </w:rPr>
        <w:t>E. 8.2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7B_108/2023 du 11 septembre 2024 consid. 3.2).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 3 let. a CEDH (droit d’être informé de la nature et de la cause de l’accusation ; TF 7B_108/2023 précité ; TF 6B_997/2023 du 28 mars 2024 consid. 2.1 ; TF 6B_836/2023 du 18 mars 2024 consid. 1.1).</w:t>
      </w:r>
    </w:p>
    <w:p>
      <w:r>
        <w:rPr>
          <w:b/>
        </w:rPr>
        <w:t>E. 8.3</w:t>
      </w:r>
    </w:p>
    <w:p>
      <w:r>
        <w:t>L’appelant se trompe lorsqu’il fait remonter les premiers faits délictueux au 4 mai 2012, dans la mesure où le premier juge a considéré que les faits antérieurs au 8 mai 2013 étaient prescrits. Si l’acte d’accusation fait uniquement état de soupçons d’appartenance à un groupe religieux, il indique en revanche de manière très claire qu’entre le 8 mai 2013 et le 18 juin 2020 l’appelant a régulièrement fait preuve de violence physique envers ses enfants et fait état de nombreux sévices dans le détail, sur l’ensemble des faits décrits ci-dessus au ch. 2.1 (let. C). On ne discerne donc aucune violation de la maxime d’accusation. Le fait que l’acte d’accusation précise que l’enquête des services de protection de la jeunesse ait été clôturée dans un premier temps en 2017, pour être ensuite reprise, ne concerne que l’appréciation des preuves et le premier juge n’était aucunement lié par l’appréciation faite par une autorité administrative. Le moyen doit donc être rejeté.</w:t>
      </w:r>
    </w:p>
    <w:p>
      <w:r>
        <w:rPr>
          <w:b/>
        </w:rPr>
        <w:t>E. 9.1</w:t>
      </w:r>
    </w:p>
    <w:p>
      <w:r>
        <w:t>L’appelant ne critique pas la quotité de la peine prononcée. Celle-ci sera néanmoins examinée d’office.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précité consid. 1.3 ; ATF 142 IV 265 et les références citées).</w:t>
      </w:r>
    </w:p>
    <w:p>
      <w:r>
        <w:rPr>
          <w:b/>
        </w:rPr>
        <w:t>E. 9.3</w:t>
      </w:r>
    </w:p>
    <w:p>
      <w:r>
        <w:t>Le premier juge a considéré que la culpabilité d’A.A.________ était importante, notamment s’agissant des coups infligés à ses jeunes enfants. Ceux-ci étaient frappés régulièrement, parfois avec différents objets, comme des ceintures, des cordons électriques ou des ustensiles de cuisine, et les coups donnés étaient violents. Les enfants devaient d’ailleurs subir encore des lavements hebdomadaires. A charge, il a été retenu les antécédents judiciaires de l’appelant et le fait qu’il tombait également sous la circonstance aggravante du concours d’infractions. Cette appréciation peut être partagée. En effet, l’appelant n’a démontré aucune prise de conscience de la gravité de ses actes et a notamment toujours nié avoir donné des coups à ses enfants, à l’exception d’une occasion, et a justifié les purges hebdomadaires comme étant des actes médicaux. Au vu de tous ces éléments et pour des motifs de prévention spéciale, seule une peine privative de liberté est susceptible de réprimer les comportements de l’appelant. Là où la loi le prévoit, il faut prononcer une peine privative de liberté pour des motifs de prévention spéciale, vu les nombreuses réitérations d’infractions. Il s’agit d’une peine complémentaire à trois condamnations totalisant 300 jours de peine privative de liberté. Si un seul juge avait connu l’ensemble des infractions commises entre les mois de mai 2013 et de décembre 2020, il aurait prononcé une peine privative de liberté de 22 mois qui se décompose comme suit : l’infraction de lésions corporelles doit valoir la peine de base de 10 mois, augmentée de 4 mois pour violation du devoir d’assistance ou d’éducation, 3 mois pour enlèvement de mineur, 1 mois pour escroquerie, 2 mois pour faux dans les titres et 2 mois pour les infractions LEI. La peine complémentaire doit ainsi être arrêtée à 12 mois. S’agissant du prononcé d’un sursis, A.A.________ ne remplit ni les conditions objectives, ni celles subjectives liées à son octroi. En effet, il a été condamné à une peine privative de liberté de 180 jours en 2017 et n’a pas pris conscience de la gravité de son comportement à l’égard de ses enfants. La peine privative de liberté prononcée sera donc ferme.</w:t>
      </w:r>
    </w:p>
    <w:p>
      <w:r>
        <w:rPr>
          <w:b/>
        </w:rPr>
        <w:t>E. 10.1</w:t>
      </w:r>
    </w:p>
    <w:p>
      <w:r>
        <w:t>L’appelant conteste enfin la durée de son expulsion facultative et estime qu’une expulsion de 3 ans serait justifiée.</w:t>
      </w:r>
    </w:p>
    <w:p>
      <w:r>
        <w:rPr>
          <w:b/>
        </w:rPr>
        <w:t>E. 10.2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(cf. ATF 139 I 145 consid. 2.4 ; ATF 139 I 31 consid. 2.3.3 ; TF 6B_1398/2022 précité).</w:t>
      </w:r>
    </w:p>
    <w:p>
      <w:r>
        <w:rPr>
          <w:b/>
        </w:rPr>
        <w:t>E. 10.3</w:t>
      </w:r>
    </w:p>
    <w:p>
      <w:r>
        <w:t>En l’espèce, les faits imputés au prévenu sont graves. Il lui est reproché d’avoir infligé des sévices corporels à de nombreuses reprises, principalement à trois de ses six enfants, de les avoir enlevés alors que ceux-ci faisaient l’objet d’une mesure de protection, d’avoir produit de faux documents pour conclure un contrat de bail et d’avoir persisté à séjourner en Suisse alors qu’il ne disposait d’aucune autorisation. De plus, le prévenu a été condamné à quatre reprises entre 2016 et 2019 à des peines privatives de liberté et à une peine pécuniaire, ce qui démontre un mépris total pour l’ordre juridique suisse. Dès lors, l’expulsion du territoire suisse pour une durée de 5 ans est adéquate, au vu de l’absence d’attaches de l’appelant avec la Suisse et des atteintes significatives à l’ordre public suisse.</w:t>
      </w:r>
    </w:p>
    <w:p>
      <w:r>
        <w:rPr>
          <w:b/>
        </w:rPr>
        <w:t>E. 11</w:t>
      </w:r>
    </w:p>
    <w:p>
      <w:r>
        <w:t>En définitive, l’appel doit être rejeté et le jugement attaqué confirmé. Me Joëlle Manca, défenseur d’office d’A.A.________, a produit une liste des opérations faisant état de 7 heures et 25 minutes d’activité, laquelle peut être admise. C’est donc une indemnité pour la procédure d’appel d’un montant de 1’472 fr., correspondant à 7 heures et 25 minutes d’activité d’avocat breveté au tarif horaire de 180 fr. (art. 2 al. 1 let. a RAJ [règlement du 7 décembre 2010 sur l’assistance judiciaire en matière civile ; BLV 211.02.3], applicable par renvoi de l’art. 26b TFIP [tarif des frais de procédure et indemnités en matière pénale du 28 septembre 2010 ; BLV 312.03.1]), plus 26 fr. 70 de débours (2% des honoraires ; art. 3bis al. 1 RAJ par renvoi de l’art. 26b TFIP), plus 110 fr. 30 de TVA (8,1%), qui sera allouée à Me Joëlle Manca. Vu l’issue de la cause, les frais de la procédure d’appel, par 4'442 fr., constitués de l’émolument de jugement, par 2’970 fr. (art. 21 al. 1 et 2 TFIP [tarif des frais de procédure et indemnités en matière pénale du 28 septembre 2010 ; BLV 312.03.1]), et de l’indemnité allouée à son défenseur d’office, par 1’472 fr., seront mis à la charge d’A.A.________, qui succombe (art. 428 al. 1 CPP). A.A.________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