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299 vom 17. Februar 2025</w:t>
      </w:r>
    </w:p>
    <w:p>
      <w:r>
        <w:t>VD Tribunal cantonal, 2025-02-17, FR</w:t>
      </w:r>
    </w:p>
    <w:p>
      <w:r>
        <w:rPr>
          <w:b/>
        </w:rPr>
        <w:t xml:space="preserve">Quelle: </w:t>
      </w:r>
      <w:r>
        <w:t>https://mcp.opencaselaw.ch/entscheid/vd_findinfo_Jug___2025___299</w:t>
      </w:r>
    </w:p>
    <w:p>
      <w:r>
        <w:t>FR: VD_FINDINFO Jug / 2025 / 299 du 17 février 2025</w:t>
      </w:r>
    </w:p>
    <w:p>
      <w:r>
        <w:t>IT: VD_FINDINFO Jug / 2025 / 299 del 17 febbraio 2025</w:t>
      </w:r>
    </w:p>
    <w:p>
      <w:pPr>
        <w:pStyle w:val="Heading2"/>
      </w:pPr>
      <w:r>
        <w:t>Regeste</w:t>
      </w:r>
    </w:p>
    <w:p>
      <w:r>
        <w:t>VOL{DROIT PÉNAL}, PAR MÉTIER, FAUX TÉMOIGNAGE, RÉVOCATION DU SURSIS, PEINE PRIVATIVE DE LIBERTÉ, EXPULSION{DROIT PÉNAL} | 139 ch. 3 let. a CP, 307 al. 1 CP</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L’appelant se plaint d’une constatation manifestement inexacte des faits et d’une violation de la présomption d’innocence en lien avec les faits décrits sous chiffre 10 de l’acte d’accusation (cf. supra ch. 2.10). Il invoque également une violation du droit, soit de l’art. 139 ch. 3 let. a CP, en ce sens que l’aggravante du métier ne pourrait être retenue à son encontre et fait valoir que l’application de l’art. 172 ter CP ne saurait être exclue.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ATF 145 IV 154 consid. 1.1 ; TF 6B_589/2024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3.2.2.1</w:t>
      </w:r>
    </w:p>
    <w:p>
      <w:r>
        <w:t>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 Conformément à l'art. 139 ch. 3 let. a CP, le vol est puni d'une peine privative de liberté de six mois à dix ans si son auteur en fait métier.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Contrairement à la circonstance qualifiée prévue en matière de stupéfiants et de blanchiment d'argent (art. 19 al. 2 let. c LStup ; art. 305 bis ch. 2 let. c CP ; cf. ATF 129 IV 188 consid. 3.1.2), l'aggravation du vol par métier n'exige ni chiffre d'affaires ni gain importants (TF 6B_463/2023 du 14 février 2024 consid. 4.1 et les arrêts cités).</w:t>
      </w:r>
    </w:p>
    <w:p>
      <w:r>
        <w:rPr>
          <w:b/>
        </w:rPr>
        <w:t>E. 3.2.2.2</w:t>
      </w:r>
    </w:p>
    <w:p>
      <w:r>
        <w:t>Selon l'art. 172 ter al. 1 CP, si l’acte ne vise qu’un élément patrimonial de faible valeur ou un dommage de moindre importance, l’auteur est, sur plainte, puni d’une amende. Cette disposition n'est pas applicable au vol qualifié (art. 139 ch. 2 et 3 CP), au brigandage ainsi qu'à l'extorsion et au chantage (art. 172 ter al. 2 CP). Un élément patrimonial est de faible valeur au sens de cette disposition s'il ne dépasse pas 300 francs (ATF 123 IV 113 consid. 3d et les références citées). Selon la jurisprudence, c'est l'intention qui est déterminante et non le résultat obtenu. L'art. 172 ter CP n'est applicable que si l'auteur n'avait d'emblée en vue qu'un élément patrimonial de faible valeur (ATF 123 IV 155 consid. 1a ; ATF 122 IV 156 consid. 2a ; TF 6B_463/2023 précité consid. 3.1 et les arrêts cités). Lorsque l'intention de l'auteur, y compris sous la forme du dol éventuel, portait sur un montant supérieur à la valeur limite admise, l'art. 172 ter CP ne trouve pas application, même si le montant du délit est inférieur à 300 francs (ATF 123 IV 197 consid. 2a ; ATF 123 IV 113 consid. 3f ; TF 6B_463/2023 précité).</w:t>
      </w:r>
    </w:p>
    <w:p>
      <w:r>
        <w:rPr>
          <w:b/>
        </w:rPr>
        <w:t>E. 3.3</w:t>
      </w:r>
    </w:p>
    <w:p>
      <w:r>
        <w:t>En l’espèce, et à l’instar des premiers juges, il n’y a aucun doute raisonnable à avoir quant au fait que l’appelant est bien l’auteur des cambriolages dénoncés au cas 10 de l’acte d’accusation. La police a été appelée sur les lieux par une habitante réveillée par des bruits provenant des caves, soit alors que le forfait était en cours, et le rapport d’investigation mentionne que l’appelant a été surpris par la police en train de quitter lesdites caves (P. 5, p. 3). Etant donné sa situation personnelle, ses antécédents spécifiques en matière de vol et sa présence sans autorisation dans l’immeuble d’habitation en question, l’implication de l’appelant dans les faits dénoncés doit être considérée comme étant établie à satisfaction. L’appelant est un jeune toxicomane français marginalisé, qui a rompu avec sa famille et qui vit dans la rue, avec deux condamnations à son actif en Suisse, prononcées en 2023 et 2024 pour des vols dans des magasins et des voitures ainsi que pour des séjours illégaux notamment, la dernière condamnation comportant une mesure d’expulsion pour une durée de 5 ans. Il s’agit donc d’un multirécidiviste, qui a poursuivi ses activités illicites dans les jours qui ont suivi sa dernière condamnation. Sur le plan de l’unité de temps et de lieu, les huit infractions – l’appelant ne conteste pas la matérialité des faits qui lui sont reprochés aux cas 3 à 9 de l’acte d’accusation (cf. supra ch. 2.3 à 2.9) – se sont échelonnées entre le 8 juin et le 29 juillet 2024 ; elles se sont déroulées au centre de Lausanne, dans un rayon de moins de 500 mètres. Sur le plan matériel, l’appelant est sans aucune source de revenu et vivait dans la rue au moment de son interpellation. Il faut donc comprendre que l’intéressé était durablement installé dans la délinquance à l’époque des faits. Il ne volait pas uniquement pour se nourrir puisqu’il a dérobé des bouteilles d’alcool fort et qu’il s’apprêtait à emporter une épée dérobée dans une cave au moment de son arrestation. L’éthylotest réalisé par la police s’est révélé négatif, ce qui démontre, d’une part, qu’il était en pleine possession de ses moyens et, d’autre part, que, comme l’ont relevé les premiers juges, contrairement à ce qu’il soutient, il ne s’était pas réfugié dans l’immeuble en question pour y passer la nuit alors qu’il était « très fatigué et alcoolisé ». Il faut ainsi considérer que les faits dénoncés s’inscrivent dans la continuité des vols pour lesquels l’appelant a déjà été condamné et que ses intentions illicites dans ce domaine ne se sont jamais limitées à des valeurs de peu d’importance, quand bien même son butin est maigre. L’appelant a adopté un mode de vie qu’il a décidé de financer en s’appropriant les biens d’autrui. Toutes les conditions d’application de la circonstance aggravante du métier sont donc réalisées et le grief de l’appelant quant à l’applicabilité de l’art. 172 ter CP doit être rejeté, celui-ci ne visant que la petite délinquance et n’étant pas applicable au vol par métier (cf. art. 172 ter al. 2 CP). Le jugement entrepris doit donc être confirmé sur ce point.</w:t>
      </w:r>
    </w:p>
    <w:p>
      <w:r>
        <w:rPr>
          <w:b/>
        </w:rPr>
        <w:t>E. 4.1</w:t>
      </w:r>
    </w:p>
    <w:p>
      <w:r>
        <w:t>L’appelant se plaint encore d'une constatation manifestement inexacte des faits et de la violation de l'art. 10 CPP en lien avec les faits reprochés au chiffre 11 de l'acte d'accusation (cf. supra ch. 2.11).</w:t>
      </w:r>
    </w:p>
    <w:p>
      <w:r>
        <w:rPr>
          <w:b/>
        </w:rPr>
        <w:t>E. 4.2</w:t>
      </w:r>
    </w:p>
    <w:p>
      <w:r>
        <w:t>Les développements relatifs à la constatation des faits et à la présomption d’innocence ont été rappelés plus haut (cf. consid. 3.2.1).</w:t>
      </w:r>
    </w:p>
    <w:p>
      <w:r>
        <w:rPr>
          <w:b/>
        </w:rPr>
        <w:t>E. 4.3</w:t>
      </w:r>
    </w:p>
    <w:p>
      <w:r>
        <w:t>En l’espèce, contrairement à ce qu’il prétend, l’appelant n’était pas sur les lieux de l’agression commise au préjudice de F.________ et n’a donc pas pu en être témoin. Dans le cadre de l’enquête dirigée contre O.________, celui-ci, dont l’appelant affirme qu’ils se connaissaient à cette époque, n’a pas mentionné sa présence aux enquêteurs. S’agissant de ses déclarations, l’appelant n’a pas mentionné avoir vu O.________ brandir un couteau alors que l’usage d’une telle arme a été confirmée par l’enquête, notamment par les déclarations de F.________ et le témoignage de X.________. Par ailleurs, et comme l’ont à juste titre relevé les premiers juges, les investigations policières ont révélé qu’avant que l’appelant ne fasse ses déclarations litigieuses, O.________ avait demandé à un tiers de trouver une personne susceptible de lui fournir un faux témoignage en expliquant que ce faux témoin devait notamment déclarer qu’il avait été agressé et qu’aucun couteau n’avait été utilisé, précisant qu’il devait également indiquer qu’il se trouvait assis à côté de lui au moment des faits, qu’il avait tout vu, ainsi que les circonstances prétendues de l’agression qui auraient fait de lui la victime. Il faut encore prendre en compte que l’appelant et O.________ étaient incarcérés dans le même établissement pénitentiaire lorsqu’il s’est manifesté comme témoin et que les deux protagonistes ont finalement partagé la même cellule, à la demande de l’appelant. Ces éléments ne laissent subsister aucun doute sérieux sur le fait que l’appelant s’est livré à un faux témoignage au sens de l’art. 307 al. 1 CP en faveur d’O.________. Il convient donc de confirmer sa condamnation pour cette infraction, étant relevé que l’intéressé ne conteste pas, à juste titre, la qualification juridique des faits.</w:t>
      </w:r>
    </w:p>
    <w:p>
      <w:r>
        <w:rPr>
          <w:b/>
        </w:rPr>
        <w:t>E. 5.1</w:t>
      </w:r>
    </w:p>
    <w:p>
      <w:r>
        <w:t>L’appelant, qui plaidait sa libération des chefs d’accusation de vol par métier au profit du vol simple, voire d’importance mineure, et celui de faux témoignage, ne conteste pas la peine qui lui a été infligée. Celle-ci doit toutefois être examinée d’office.</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5.4</w:t>
      </w:r>
    </w:p>
    <w:p>
      <w:r>
        <w:t>En l’espèce, à l’instar des premiers juges, dont la motivation circonstanciée ne prête pas le flanc à la critique et doit être confirmée (cf. jgmt p. 17), on relèvera que si les actes pour lesquels l’appelant est condamné sont, pris isolément, pour la plupart de peu de gravité, sa culpabilité n’en est pas moins importante. Il a en effet multiplié les délits alors qu’il avait déjà été condamné à deux reprises à des peines avec sursis et qu’il avait effectué plusieurs mois de détention provisoire. L’appelant manifeste un mépris total de l’ordre juridique, n’hésitant pas à récidiver de manière spéciale, et ce immédiatement après sa sortie de prison, étant ici relevé qu’une des infractions – le faux témoignage – a même été commise en détention. Il a fait l’objet de huit sanctions disciplinaires, de sorte que son comportement en prison est mauvais (cf. P. 39, 40, 42, 43 et 45 notamment). L’appelant n’a en définitive admis que les faits pour lesquels il a été pris en flagrant délit, n’hésitant pas à contester son implication sitôt qu’il en voyait la possibilité. Les premiers juges ont relevé que les excuses et regrets formulés par l’appelant à l’issue des débats paraissaient de circonstance et sa prise de consciente absente, élément qui s’est confirmé lors de la procédure d’appel, puisqu’il a persisté à nier les faits reprochés sous cas 10 et 11 de l’acte d’accusation. Les infractions qu’il a commises sont par ailleurs en concours. A décharge, à l’instar du Tribunal correctionnel, il sied de tenir compte du jeune âge de l’appelant, de la précarité dans laquelle il vivait avant son interpellation, de son addiction et de son décrochage social, familial et professionnel, ainsi que du fait qu’il a admis les prétentions civiles formulées contre lui. Compte tenu des éléments qui précèdent et eu égard à la gravité et à l’étendue des faits réprimés, toutes les infractions passibles de cette peine justifient le prononcé d’une peine privative de liberté, pour des motifs de prévention spéciale (cf. art. 41 al. 1 let. a CP), celle-ci ne pouvant au demeurant qu’être ferme, le pronostic quant au comportement futur de l’appelant étant assurément défavorable. Le vol par métier constitue en l’espèce l’infraction la plus grave et justifie le prononcé d’une peine privative de liberté minimale de 8 mois compte tenu des récidives, augmentée, par les effets du concours, de 5 mois pour sanctionner le faux témoignage. A cette quotité s’ajoute la peine privative de liberté de 7 mois infligée à l’appelant par le Tribunal de police de l’arrondissement de Lausanne le 27 mai 2024, le sursis qui lui a été octroyé par cette autorité devant être révoqué compte tenu des récidives spéciales à répétition – ce que l’appelant ne conteste, à juste titre, pas – au même titre que celui qui lui a été octroyé le 14 décembre 2023 par le Ministère public de l'arrondissement de Lausanne (cf. art. 46 al. 1 CP). La peine privative de liberté d’ensemble de 18 mois prononcée par les premiers juges est donc adéquate et doit être confirmée. L’exécution de la peine pécuniaire de 60 jours-amende infligée par le Ministère public de l’arrondissement de Lausanne doit en outre être ordonnée, compte tenu de la révocation du sursis qui assortissait cette peine. Enfin, l’amende de 300 fr. prononcée pour sanctionner la contravention à la LStup commise est adéquate et doit être confirmée également, au même titre que la peine privative de liberté de substitution, fixée à 3 jours.</w:t>
      </w:r>
    </w:p>
    <w:p>
      <w:r>
        <w:rPr>
          <w:b/>
        </w:rPr>
        <w:t>E. 6</w:t>
      </w:r>
    </w:p>
    <w:p>
      <w:r>
        <w:t>La détention subie par l’appelant depuis le jugement de première instance doit être déduite (art. 51 CP) et son maintien en détention pour des motifs de sûretés ordonné.</w:t>
      </w:r>
    </w:p>
    <w:p>
      <w:r>
        <w:rPr>
          <w:b/>
        </w:rPr>
        <w:t>E. 7</w:t>
      </w:r>
    </w:p>
    <w:p>
      <w:r>
        <w:t>Pour le surplus, l’appelant ne conteste ni le principe de son expulsion du territoire suisse, ni sa durée, de sorte qu'il n'y a pas lieu d'examiner ce point.</w:t>
      </w:r>
    </w:p>
    <w:p>
      <w:r>
        <w:rPr>
          <w:b/>
        </w:rPr>
        <w:t>E. 8</w:t>
      </w:r>
    </w:p>
    <w:p>
      <w:r>
        <w:t>En définitive, l’appel d’A.________ doit être rejeté et le jugement entrepris intégralement confirmé. La liste des opérations produite par le défenseur d’office de l’appelant fait état de 12 heures et 20 minutes consacrées à la procédure d’appel. Il n’y a pas lieu de s’écarter du temps allégué, si ce n’est pour y ajouter 45 minutes afin de tenir compte de la durée des débats d’appel. En définitive, c’est ainsi une indemnité totale de 2’856 fr. 10 qui sera allouée à Me Helen Safaï pour la procédure d’appel, correspondant à une activité d’avocat de 13 heures et 5 minutes au tarif horaire de 180 fr. (art. 2 al. 1 let. a RAJ [règlement sur l’assistance judiciaire en matière civile du 7 décembre 2019 ; BLV 211.02.3], applicable par renvoi de l’art. 26b TFIP [tarif des frais de procédure et indemnités en matière pénale du 28 septembre 2010 ; BLV 312.03.1]), par 2’355 fr., à des débours forfaitaires à hauteur de 2 % des honoraires admis, soit 47 fr. 10, à deux vacations à 120 fr. (art. 3bis al. 3 RAJ) et à un montant de 214 fr. correspondant à la TVA au taux de 8,1 % sur le tout. Vu l'issue de la cause, les frais de la procédure d'appel, constitués des émoluments de jugement, par 1’870 fr. et d'audience, par 400 fr. (art. 21 al. 1 et 2 TFIP), ainsi que de l’indemnité allouée au défenseur d’office, par 2’856 fr. 10, soit au total 5’126 fr. 10, seront mis à la charge de l'appelant, qui succombe (art. 428 al. 1 CPP). L’appelant sera tenu de rembourser à l’Etat de Vaud l’indemnité mise à sa charge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