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291 vom 22. November 2024</w:t>
      </w:r>
    </w:p>
    <w:p>
      <w:r>
        <w:t>VD Tribunal cantonal, 2024-11-22, FR</w:t>
      </w:r>
    </w:p>
    <w:p>
      <w:r>
        <w:rPr>
          <w:b/>
        </w:rPr>
        <w:t xml:space="preserve">Quelle: </w:t>
      </w:r>
      <w:r>
        <w:t>https://mcp.opencaselaw.ch/entscheid/vd_findinfo_Jug___2025___291</w:t>
      </w:r>
    </w:p>
    <w:p>
      <w:r>
        <w:t>FR: VD_FINDINFO Jug / 2025 / 291 du 22 novembre 2024</w:t>
      </w:r>
    </w:p>
    <w:p>
      <w:r>
        <w:t>IT: VD_FINDINFO Jug / 2025 / 291 del 22 novembre 2024</w:t>
      </w:r>
    </w:p>
    <w:p>
      <w:pPr>
        <w:pStyle w:val="Heading2"/>
      </w:pPr>
      <w:r>
        <w:t>Regeste</w:t>
      </w:r>
    </w:p>
    <w:p>
      <w:r>
        <w:t>MENACE{DROIT PÉNAL}, DIFFAMATION, CONTRAINTE{DROIT PÉNAL}, TENTATIVE{DROIT PÉNAL}, PORNOGRAPHIE DURE, INTERDICTION D'EXERCER UNE PROFESSION, SÉQUESTRE{MESURE PROVISIONNELLE}, RÉVOCATION DU SURSIS, PEINE PRIVATIVE DE LIBERTÉ, INTERNEMENT{DROIT PÉNAL} | 173 ch. 1 CP, 180 al. 1 CP, 181 CP, 197 al. 4 CP, 22 ad 181 CP, 46 al. 1 CP, 67 al. 3 let. d CP, 69 CP</w:t>
      </w:r>
    </w:p>
    <w:p>
      <w:pPr>
        <w:pStyle w:val="Heading2"/>
      </w:pPr>
      <w:r>
        <w:t>Erwägungen</w:t>
      </w:r>
    </w:p>
    <w:p>
      <w:r>
        <w:rPr>
          <w:b/>
        </w:rPr>
        <w:t>E. 1</w:t>
      </w:r>
    </w:p>
    <w:p>
      <w:r>
        <w:t>. Interjeté dans les formes et délais légaux (art. 385 et 399 CPP), par le prévenu ayant qualité pour recourir (art. 382 al. 1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A titre de mesure d’instruction, l’appelant sollicite l’audition en qualité de témoins des Procureurs R.________ et N.________, et de F.________. Il expose que ces auditions permettront d’obtenir des explications sur les raisons de la durée des procédures pénales qui ont été menées à son encontre ainsi que sur les accusations portées contre lui, ce d’autant que la première nommée, qui a représenté le Parquet lors de l’audience de jugement, aurait renoncé à soutenir un bon nombre d’infractions initialement retenues dans les actes d’accusation. Enfin, l’appelant considère que l’effectivité – contestée – des actes décrits sous cas 4 de l’acte d’accusation du 26 mars 2024 et 9 de l’acte d’accusation complémentaire du 23 septembre 2024 ne pourrait être retenue sans procéder à l’audition de la « prétendue victime », F.________.</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l’administration des preuves sollicitées doit être rejetée, celles-ci n'étant pas utiles pour le traitement de l’appel, respectivement pour l’examen des faits reprochés à l’appelant, au vu des nombreux éléments figurant d’ores et déjà au dossier. Pour le surplus, la procédure a été ouverte au mois de juillet 2021. Elle a été compliquée par le nombre de comportements problématiques adoptés successivement par l’appelant et qui ont dû être examinés par le Ministère public dans le cadre des plaintes déposées ou des éléments révélés durant l’instruction, ensuite des opérations d’enquête qui ont été conduites. Compte tenu de ces circonstances, la durée de la procédure n’a rien d’exceptionnel ni de problématique, étant rappelé que l’appelant fait l’objet d’une mesure d’internement justifiant sa détention indépendamment de la présente affaire. S’agissant de l’audition de F.________, la problématique liée à la description d’actes sexuels effectifs avec des mineurs est suffisante pour justifier l’examen des conditions d’application de l’infraction de pornographie, indépendamment de savoir si son auteur les a préalablement expérimentés sur la victime désignée dans les écrits en cause. Cette mesure d’instruction est donc dénuée de toute pertinence.</w:t>
      </w:r>
    </w:p>
    <w:p>
      <w:r>
        <w:rPr>
          <w:b/>
        </w:rPr>
        <w:t>E. 4</w:t>
      </w:r>
    </w:p>
    <w:p>
      <w:r>
        <w:t>A titre liminaire, on relèvera que l’appelant ne remet pas en cause la matérialité des faits qui lui sont reprochés, mais conteste qu’ils soient constitutifs d’une quelconque infraction. Seules leurs qualifications juridiques seront donc examinées.</w:t>
      </w:r>
    </w:p>
    <w:p>
      <w:r>
        <w:rPr>
          <w:b/>
        </w:rPr>
        <w:t>E. 5.1</w:t>
      </w:r>
    </w:p>
    <w:p>
      <w:r>
        <w:t>Dans un premier moyen, l’appelant conteste l’infraction de pornographie dure retenue contre lui par les premiers juges. Il considère tout d’abord que le fichier informatique contenant le récit litigieux serait exclu du champ d’application de l’art. 197 CP. L’appelant conteste ensuite le caractère illicite de son récit, qui aurait été sorti de son contexte et fait valoir la violation du principe ne bis in idem , en ce que les premiers juges ont retenu qu’il a décrit des actes effectifs avec des mineurs, alors qu’il a déjà été condamné en 2002 pour ces faits. Il estime encore que son droit d’être entendu aurait été violé en ce que la réalité des passages pédopornographiques de son récit n’a pas pu être vérifiée en raison du refus de procéder à l’audition de la victime, F.________.</w:t>
      </w:r>
    </w:p>
    <w:p>
      <w:r>
        <w:rPr>
          <w:b/>
        </w:rPr>
        <w:t>E. 5.2.1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(ATF 145 IV 383 consid. 2.2). Il est par ailleurs garanti par l'art. 4 al. 1 du Protocole n° 7 à la Convention de sauvegarde des droits de l’homme et des libertés fondamentales du 4 novembre 1950 (CEDH) (RS 0.101.07) et par l'art. 14 al. 7 du Pacte-ONU II (RS 0.103.2 ; ATF 144 IV 362 consid. 1.3.2 ; ATF 137 I 363 consid. 2.1).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ATF 125 II 402 consid. 1b ; cf. ATF 137 I 363 consid. 2.2).</w:t>
      </w:r>
    </w:p>
    <w:p>
      <w:r>
        <w:rPr>
          <w:b/>
        </w:rPr>
        <w:t>E. 5.2.2</w:t>
      </w:r>
    </w:p>
    <w:p>
      <w:r>
        <w:t>Selon l’art. 197 al. 1 CP, quiconque offre, montre, rend accessibles à une personne de moins de seize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Aux termes de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Par mineur, on entend toute personne de moins de 18 ans (Dupuis et al., Petit Commentaire, Code pénal, 2 e éd., Bâle 2017, n. 29 ad art. 197 CP).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(ATF 131 IV 64 consid. 11.2, JdT 2007 IV 161). En ce qui concerne la pornographie enfantine, il faut souligner que les actes d’ordre sexuel avec des enfants constituent une infraction particulière (art. 187 CP). Dans ce domaine, l’interdiction ne peut donc être réellement efficace que si une œuvre est qualifiée de pornographie enfantine chaque fois qu’il est manifeste que sa fabrication intentionnelle en Suisse serait punissable en vertu de l’art. 187 CP. Selon la jurisprudence, seuls les comportements qui, dans un contexte déterminé, apparaissent objectivement de nature sexuelle constituent des actes d’ordre sexuel au sens de l’art. 187 CP. Eu égard à la décision de politique juridique du législateur de punir par principe les actes d’ordre sexuel avec des enfants, il paraît d’emblée exclu que la représentation d’un tel comportement s’inscrive dans le contexte de relations humaines et qu’elle ne réduise pas l’enfant à un pur objet sexuel (ATF 131 IV 64 précité et les références citées).</w:t>
      </w:r>
    </w:p>
    <w:p>
      <w:r>
        <w:rPr>
          <w:b/>
        </w:rPr>
        <w:t>E. 5.3.1</w:t>
      </w:r>
    </w:p>
    <w:p>
      <w:r>
        <w:t>Les premiers juges ont retenu le caractère éminemment pornographique du texte possédé, respectivement détenu par l’appelant, lequel décrit, par le menu, des actes sexuels effectifs entre une mineure de 7-9 ans et un adulte, avec une terminologie crue, comme en attestaient les différents passages retranscrits dans le rapport de police, et ont considéré que la détention de ce texte était réprimée par l’alinéa 4 de l’art. 197 CP, dès lors que la finalité n’était pas exclusivement une consommation personnelle, l’appelant ayant admis qu’il s’agissait d’éditer un livre, une maison d’édition voulant, à ses dires, choquer en publiant l’écrit. Le Tribunal correctionnel n’a donné aucun crédit à la thèse de l’appelant tendant à soutenir qu’il ne s’agissait pas de pornographie mais d’une « scène érotique », ou arguant de la valeur culturelle du texte en se livrant à la comparaison avec d’autres auteurs dont les livres étaient librement accessibles en librairie, dans la mesure où, dans le récit incriminé, des actes sexuels avec une mineure étaient décrits de manière crue et abjecte. Il n’y avait donc aucune valeur culturelle digne de protection, étant au demeurant relevé qu’il importait peu que le récit contienne 107 pages et que « seuls certains passages soient choquants », comme soutenu par l’appelant. Les premiers juges ont encore dénié l’applicabilité du principe ne bis in idem invoqué par l’appelant, relevant que le fait d’avoir été condamné pour des abus sexuels sur une mineure, qu’il contestait toujours, n’était pas le même acte que celui de retranscrire dans un récit lesdits actes d’abus sexuels ou des relations sexuelles entre un homme adulte et une fillette, respectivement de détenir ce récit pédopornographique. Enfin, le Tribunal correctionnel a considéré que le fait que l’appelant, alors détenu à Thorberg, ait fait l’objet d’une ordonnance de classement le 25 juin 2020 par les autorités pénales bernoises, motif pris que l’examen de son ordinateur de l’époque (qui n’était pas l’un de ceux examinés dans la présente affaire) ne contenait aucune pornographie illégale, ne lui permettait pas de déduire quoi que ce soit en sa faveur. En effet, rien n’indiquait que le texte incriminé dans la présente affaire se trouvait dans cet ordinateur et il n’était indiqué nulle part dans la décision bernoise que le texte en question aurait été analysé et visé par le classement bernois, la police ayant surtout analysé ledit matériel informatique en vue de rechercher d’éventuelles vidéos de pornographie illégale.</w:t>
      </w:r>
    </w:p>
    <w:p>
      <w:r>
        <w:rPr>
          <w:b/>
        </w:rPr>
        <w:t>E. 5.3.2</w:t>
      </w:r>
    </w:p>
    <w:p>
      <w:r>
        <w:t>Ces considérations ne prêtent pas le flanc à la critique. Il n’est pas nécessaire de procéder à l’exégèse de la disposition légale en cause ni d’analyser les débats parlementaires sur sa genèse pour comprendre de l’énumération large des supports visés que le récit pédopornographique retrouvé sur un fichier numérique dans l’ordinateur de l’appelant est prohibé. L’argument selon lequel les éléments pédopornographiques du récit créé par l’appelant – soit notamment les descriptions mettant en scène de manière particulièrement crue et détaillée des relations sexuelles complètes ainsi que des scènes de cunnilingus et de fellation avec une enfant de 7 ans – auraient été sortis de leur contexte doit être également écarté. Peu importe en effet le cadre dans lequel l’appelant a inscrit ses descriptions sexuelles, le contenu pédopornographique en cause n’en reste pas moins intégralement visé par l’art. 197 al. 4 CP. De même, le grief de l’appelant selon lequel les premiers juges ne pouvaient pas retenir que les actes décrits dans les passages incriminés du récit qu’il a rédigé étaient effectifs est dénué de pertinence. Il est exclu d’offrir à l’appelant l’occasion de forcer sa victime à revivre les traumatismes qu’il lui a fait subir lors d’une audition devant la justice, sans aucune nécessité pour l’analyse des conditions d’application de l’infraction à examiner. Comme mentionné ci-avant (cf. supra consid. 3.3), le moyen de preuve sollicité est dénué de pertinence, la description d’actes sexuels effectifs avec des mineurs étant suffisante, indépendamment de la question de savoir si son auteur les a préalablement expérimentés. Il n’y a donc aucune violation du droit d’être entendu de l’appelant. Il faut par ailleurs exclure, sans discussion, toute qualité quelconque au récit dénoncé, que ce soit sous l’angle d’une prétendue œuvre littéraire, scientifique ou autre. Du reste, l’appelant prétend vouloir comparer son récit à des œuvres existantes sans se donner la peine d’en nommer une seule. C’est dire l’inanité d’une telle argumentation. Au prix d’un raisonnement très peu compréhensible, l’appelant semble soutenir que le fait que l’un des protagonistes du récit soit mineur ou que le récit soit choquant ne suffirait pas à lui conférer un caractère pornographique. La question n’est pas là. Le récit de l’appelant comporte la description crue et abjecte de violences sexuelles infligées à une enfant de 7 ans. Il s’agit de pédopornographie qui n’exprime aucune autre intention que l’expression brute d’une sexualité déviante, clairement prohibée par l’art. 197 al. 4 CP. Sur le plan de l’intention encore, il faut retenir que l’écrit litigieux a été créé par l’appelant à dessein de susciter l’excitation sexuelle d’un individu pédophile, par la description d’actes sexuels effectifs avec une mineure. L’écrit litigieux a été élaboré par l’appelant postérieurement à sa condamnation en 2002 pour ses actes pédophiles. L’exception ne bis in idem qu’il invoque ne trouve donc pas application. Par surabondance, il ne s’agit quoi qu’il en soit pas de la même infraction puisqu’en 2002, il a été condamné pour avoir, en Thaïlande, à plusieurs reprises, commis des attouchements à caractère sexuel sur une fillette alors âgée de dix ans, pour avoir entretenu, dans des hôtels, des relations sexuelles à raison d’une fois par semaine, durant plusieurs mois, avec une autre fillette alors âgée de douze ans, et pour avoir, en Suisse, commis des actes d’ordre sexuel avec une troisième fillette alors âgée de huit ans et qu’en l’espèce, il lui est reproché d’avoir possédé, respectivement détenu, à tout le moins dès le 8 septembre 2021, un écrit comportant de la pédopornographie dure, avec pour intention d’éditer un livre, et ce quand bien même le récit qui en est fait repose indéniablement sur les agressions dont il s’est rendu coupable à l’époque. Le fait que l’appelant n’ait pas été sanctionné plus tôt pour la rédaction de son récit ne supprime en rien son caractère illicite. Contrairement à ce qu’il soutient, le fait que l’ordinateur de l’appelant ait pu, à l’occasion, être contrôlé par l’administration pénitentiaire, ne pouvait laisser penser que ses textes avaient été dûment vérifiés et analysés, respectivement qu’il pouvait légitimement supposer que la nature de ses écrits était licite. Les griefs de l’appelant doivent donc être rejetés et sa condamnation pour pornographie dure au sens de l’art. 197 al. 4 CP confirmée.</w:t>
      </w:r>
    </w:p>
    <w:p>
      <w:r>
        <w:rPr>
          <w:b/>
        </w:rPr>
        <w:t>E. 6.1</w:t>
      </w:r>
    </w:p>
    <w:p>
      <w:r>
        <w:t>L’appelant conteste ensuite sa condamnation pour contrainte s’agissant des faits dénoncés au cas 7 de l’acte d’accusation du 26 mars 2024 (cf. supra ch. 2.2) qui concernent Me G.________, faisant valoir que cette avocate n’a pas été privée de sa liberté d’action dès lors qu’elle ne pouvait déterminer elle-même le terme de son mandat de défenseur d’office, décision revenant exclusivement à l’autorité judicaire.</w:t>
      </w:r>
    </w:p>
    <w:p>
      <w:r>
        <w:rPr>
          <w:b/>
        </w:rPr>
        <w:t>E. 6.2</w:t>
      </w:r>
    </w:p>
    <w:p>
      <w:r>
        <w:t>Se rend coupable de contrainte selon l’art. 181 aCP – dans sa teneur en vigueur jusqu'au 30 juin 2023 (RO 2023 p. 259 ; FF 2018 p. 2889), le nouveau droit n’étant pas plus favorable à l’appelant (cf. art. 2 al. 2 CP) –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6.3.1</w:t>
      </w:r>
    </w:p>
    <w:p>
      <w:r>
        <w:t>Les premiers juges ont considéré que l’appelant avait proféré de graves menaces à l’encontre de l’intégrité physique de Me G.________ afin d’obtenir un changement de défenseur en raison de ce que l’avocate aurait refusé d’entamer certaines démarches qu’il réclamait. Il importait en outre peu qu’en cas de défense d’office, la décision de remplacer le défenseur revienne à la direction de la procédure, dès lors que c’était bien l’avocate qui avait été obligée de requérir d’être relevée de sa mission, requête qu’elle avait été amenée à formuler après avoir reçu le texte menaçant incriminé.</w:t>
      </w:r>
    </w:p>
    <w:p>
      <w:r>
        <w:rPr>
          <w:b/>
        </w:rPr>
        <w:t>E. 6.3.2</w:t>
      </w:r>
    </w:p>
    <w:p>
      <w:r>
        <w:t>Cette appréciation doit être suivie. La matérialité des faits n’est pas contestée par l’appelant. Il est donc établi qu’il a menacé son ancienne avocate de violences physiques extrêmes afin de l’effrayer pour qu’elle renonce sans délai à assumer le mandat de défenseur d’office qui lui avait été confié. Le courrier n’autorise aucune autre interprétation et l’appelant se garde bien d’en proposer une. Que l’autorité judiciaire soit seule habilitée à relever l’avocat d’office de sa mission est sans importance ; en agissant de la sorte, l’appelant a annihilé la liberté d’action de son défenseur pour l’empêcher d’accomplir le mandat qui lui avait été confié par l’autorité judiciaire et l’obliger à demander à être relevée de sa mission. Les termes utilisés par l’appelant dans le courrier litigieux expriment une résolution absolue qui exclut toute résistance. Le contexte prétendument difficile de sa relation avec son avocate, derrière lequel l’appelant prétend pouvoir dissimuler l’illicéité crasse de son comportement, est dénué de pertinence, sauf à caractériser l’absence complète de scrupule dont il a fait preuve pour parvenir à ses fins. Les éléments constitutifs objectifs et subjectifs de l’infraction sont réalisés de sorte que les griefs de l’appelant doivent être rejetés et sa condamnation pour contrainte au sens de l’art. 181 aCP confirmée.</w:t>
      </w:r>
    </w:p>
    <w:p>
      <w:r>
        <w:rPr>
          <w:b/>
        </w:rPr>
        <w:t>E. 7.1</w:t>
      </w:r>
    </w:p>
    <w:p>
      <w:r>
        <w:t>L’appelant conteste par ailleurs l’infraction de tentative de contrainte retenue contre lui aux cas 3, 6, 7 et 8 de l’acte d’accusation complémentaire du 23 septembre 2024 (cf. supra ch. 2.3.1 à 2.3.4), estimant n’avoir proféré aucune menace objectivement sérieuse compte tenu de la détention qu’il exécute, qui le priverait de toute possibilité d’action concrète.</w:t>
      </w:r>
    </w:p>
    <w:p>
      <w:r>
        <w:rPr>
          <w:b/>
        </w:rPr>
        <w:t>E. 7.2</w:t>
      </w:r>
    </w:p>
    <w:p>
      <w:r>
        <w:t>Les développements relatifs à l’infraction de contrainte ont été rappelés plus haut (cf. consid. 6.2).</w:t>
      </w:r>
    </w:p>
    <w:p>
      <w:r>
        <w:rPr>
          <w:b/>
        </w:rPr>
        <w:t>E. 7.3</w:t>
      </w:r>
    </w:p>
    <w:p>
      <w:r>
        <w:t>Les propos de l’appelant n’offrent aucune marge d’interprétation. Les termes violents et agressifs qu’il a utilisés caractérisent, jusqu’à la caricature, les menaces sérieuses proférées sur ses victimes pour les priver de toute liberté de décision. L’appelant est un criminel détenu depuis de longues années en raison de sa dangerosité. Les menaces doivent être considérées comme objectivement sérieuses par toute personne raisonnable placée dans la même situation que les victimes. L’appelant est suffisamment intégré dans le milieu carcéral pour disposer de relations lui permettant d’agir malgré sa détention. Du reste, il a largement démontré qu’il avait la possibilité de contourner certains dispositifs de contrôle mis en place par les autorités pénitentiaires, en faisant intervenir des tiers à l’intérieur comme à l’extérieur de son lieu de détention. Dans la mesure où les lésés ne se sont toutefois pas laissés intimider et n’ont pas adopté le comportement voulu par l’appelant, l’infraction n’est réalisée qu’au stade de la tentative (cf. art. 22 al. 1 CP). Le grief de l’appelant doit donc être rejeté et sa condamnation pour tentative de contrainte (art. 22 al. 1 ad 181 aCP) confirmée.</w:t>
      </w:r>
    </w:p>
    <w:p>
      <w:r>
        <w:rPr>
          <w:b/>
        </w:rPr>
        <w:t>E. 8.1</w:t>
      </w:r>
    </w:p>
    <w:p>
      <w:r>
        <w:t>L’appelant remet en cause l’infraction de diffamation retenue contre lui à raison des faits décrits sous cas 2 et 5 de l’acte d’accusation complémentaire du 23 septembre 2024 (cf. supra ch. 2.1.2 et 2.1.3), estimant que les propos tenus à l’encontre du directeur de prison ne feraient qu’exprimer son mépris, qu’ils ne concernaient que l’activité professionnelle de la victime de ses agissements et qu’ils ne seraient par ailleurs pas suffisamment caractérisés pour justifier une condamnation. Il se prévaut par ailleurs de l’art. 14 CP, soutenant avoir agi de manière licite.</w:t>
      </w:r>
    </w:p>
    <w:p>
      <w:r>
        <w:rPr>
          <w:b/>
        </w:rPr>
        <w:t>E. 8.2.1</w:t>
      </w:r>
    </w:p>
    <w:p>
      <w:r>
        <w:t>Aux termes de l'art. 173 ch. 1 aCP – dans sa teneur en vigueur jusqu'au 30 juin 2023 (RO 2023 p. 259 ; FF 2018 p. 2889), le nouveau droit n’étant pas plus favorable à l’appelant (cf. art. 2 al. 2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aCP).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aCP).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8.2.2</w:t>
      </w:r>
    </w:p>
    <w:p>
      <w:r>
        <w:t>Conformément à l'art. 14 CP, quiconque agit comme la loi l'ordonne ou l'autorise se comporte de manière licite, même si l'acte est punissable en vertu du présent Code ou d'une autre loi.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w:t>
      </w:r>
    </w:p>
    <w:p>
      <w:r>
        <w:rPr>
          <w:b/>
        </w:rPr>
        <w:t>E. 8.3.1</w:t>
      </w:r>
    </w:p>
    <w:p>
      <w:r>
        <w:t>Les premiers juges ont considéré que l’appelant s’était adressé à un tiers (le Ministère public) et avait porté atteinte à l’honneur du plaignant, fâché d’un contrôle de sa correspondance en prison. La prose de l’appelant, prise dans son ensemble – pas uniquement le qualificatif de « bouffon » –, relevait d’une atteinte à l’honneur caractérisée et insistante, soit en particulier le fait de dire d’un directeur de prison qu’il était un individu immonde, nuisible, un pervers narcissique, « qui se croi [yai] t encore au temps de l’inquisition espagnole » (laquelle était responsable de milliers d’exécutions capitales et connue pour sa cruauté). Les allégations de l’appelant laissaient entendre que le plaignant exerçait sa profession de manière contraire à ses devoirs qu’ainsi qu’à sa probité et tendaient à le rendre méprisable aux yeux d’autrui, allégations qui avaient au demeurant été formulées dans l’intention de dire du mal et discréditer.</w:t>
      </w:r>
    </w:p>
    <w:p>
      <w:r>
        <w:rPr>
          <w:b/>
        </w:rPr>
        <w:t>E. 8.3.2</w:t>
      </w:r>
    </w:p>
    <w:p>
      <w:r>
        <w:t>Ces considérations doivent être suivies. Les propos tenus par l’appelant sont sans rapport avec un quelconque devoir d’agir conformément à la loi. Ils sont parfaitement inutiles au regard d’une plainte tendant à contester le fait qu’un courrier ait été intercepté et contrôlé par la direction de la prison. L’appelant ne peut se prévaloir d’aucun fait justificatif extralégal. L’art. 14 CP ne lui est d’aucun secours. Les propos en cause ne sont pas simplement outranciers et dénigrants ; ils sont injurieux et visent clairement à porter violemment atteinte à l’honneur du plaignant. Ils ont été formulés dans le seul dessein de dire du mal de lui. Du reste, l’appelant se garde bien de revendiquer le droit de faire valoir des preuves libératoires, ce qui en dit long sur la faiblesse de son argumentation. Au surplus, il convient de se référer à l’argumentation des premiers juges. Le grief de l’appelant doit donc être rejeté et sa condamnation pour diffamation (art. 173 ch. 1 aCP) à raison des faits décrits sous cas 2 et 5 de l’acte d’accusation complémentaire du 23 septembre 2024 confirmée.</w:t>
      </w:r>
    </w:p>
    <w:p>
      <w:r>
        <w:rPr>
          <w:b/>
        </w:rPr>
        <w:t>E. 9.1</w:t>
      </w:r>
    </w:p>
    <w:p>
      <w:r>
        <w:t>L’appelant conteste l’infraction de menaces retenue contre lui s’agissant des faits dénoncés aux cas 4 et 5 de l’acte d’accusation complémentaire du 23 septembre 2024 (cf. supra ch. 2.1.1 et 2.1.3). Pour le cas 4, l’appelant soutient que dès lors que le plaignant n’a pas entrepris de démarche pour le faire changer d’établissement, il n’aurait en réalité conçu aucune crainte des propos litigieux. Pour le cas 5, il estime que les menaces proférées ne peuvent être considérées comme graves et qu’elles n’étaient pas de nature à alarmer, effrayer ou impressionner une personne raisonnable, les propos litigieux mettant uniquement en cause la probité professionnelle du plaignant.</w:t>
      </w:r>
    </w:p>
    <w:p>
      <w:r>
        <w:rPr>
          <w:b/>
        </w:rPr>
        <w:t>E. 9.2</w:t>
      </w:r>
    </w:p>
    <w:p>
      <w:r>
        <w:t>Aux termes de l'art. 180 al. 1 aCP – dans sa teneur en vigueur jusqu’au 30 juin 2023 (RO 2023 p. 259 ; FF 2018 p. 2889), le nouveau droit n’étant pas plus favorable à l’appelant (cf. art. 2 al. 2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Les menaces de lésions corporelles graves ou de mort doivent être considérées comme des menaces graves au sens de l’art. 180 CP (TF 6B_787/2018 du 1 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Peu importe que les menaces aient été rapportées de manière indirecte à la victime (TF 6B_617/2022 du 14 décembre 2022 consid. 2.2.1 ; TF 6B_741/2021 du 2 août 2022 consid. 7.3 ; TF 6B_787/2018 du 1 er octobre 2018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rPr>
          <w:b/>
        </w:rPr>
        <w:t>E. 9.3.1</w:t>
      </w:r>
    </w:p>
    <w:p>
      <w:r>
        <w:t>S’agissant des faits décrits sous cas 4 de l’acte d’accusation complémentaire, les premiers juges ont retenu qu’au regard des différents agissements et manœuvres décrits, notamment la recherche insistante de l’adresse privée du directeur de la prison, qui s’inscrivaient dans une certaine durée et avait été réalisée avec une certaine intensité dès le mois d’avril 2023 alors qu’il était déjà question de ce type de recherche en 2021, l’appelant avait inquiété le plaignant, qui avait déposé une plainte. Il avait agi avec conscience et volonté, se sachant écouté lors des appels téléphoniques depuis la prison et lu lorsque les correspondances étaient adressées depuis son lieu de détention. Les démarches effectuées par l’appelant avaient de quoi alarmer le plaignant, et l’avaient d’ailleurs inquiété au point qu’il porte plainte pour la première fois. Le fait que l’appelant n’ait pas été transféré dans un autre établissement après ces faits ne relativisait aucunement les craintes du directeur de la prison face aux agissements décrits dans l’acte d’accusation. L’infraction de menaces était également réalisée à raison des faits décrits sous cas 5 de l’acte d’accusation complémentaire, en tant que l’appelant avait menacé le plaignant d’un préjudice illicite objectivement grave, soit de publier, au sein d’un ouvrage à paraître, des allégations propres à porter atteinte à son honneur, compte tenu également des autres actes commis par l’appelant à l’encontre du plaignant, respectivement du contexte plus large dans lequel s’inscrivait cet envoi.</w:t>
      </w:r>
    </w:p>
    <w:p>
      <w:r>
        <w:rPr>
          <w:b/>
        </w:rPr>
        <w:t>E. 9.3.2</w:t>
      </w:r>
    </w:p>
    <w:p>
      <w:r>
        <w:t>Il suffit de lire les propos tenus par l’appelant et dénoncés au cas 5 pour se convaincre de leur caractère menaçant. Il n’y a aucun doute à avoir sur la gravité et le sérieux de l’atteinte voulue par l’appelant pour nuire à l’honneur et à la réputation du plaignant. Les griefs de l’appelant doivent être écartés. Les faits dénoncés au cas 4 de l’acte d’accusation concernent la recherche de l’adresse privée du plaignant, la demande de recherche en Thaïlande sur d’éventuelles activités répréhensibles auquel ce dernier aurait pu se livrer, l’échange avec T.________, membre des Pink Panthers, lui indiquant que le directeur de prison devait être « traité comme il se doit » et lui demandant de contacter un autre criminel susceptible d’avoir « le personnel qualifié pour régler ce genre de problème ». Le comportement de l’appelant est particulièrement inquiétant. A nouveau, il savait pertinemment qu’il était surveillé et que les démarches en question parviendraient à la connaissance de la direction. Ces démarches sont de nature à alarmer les personnes visées par les projets particulièrement menaçants évoqués par l’appelant. Il faut par conséquent considérer que c’est ce qu’il recherchait, au vu de l’ensemble des faits dénoncés dans cette affaire, qui traduisent son état d’esprit agressif et hargneux vis-à-vis du directeur de prison. Les griefs de l’appelant doivent donc être rejetés et sa condamnation pour menaces (art. 180 al. 1 aCP) à raison des faits susmentionnés confirmée.</w:t>
      </w:r>
    </w:p>
    <w:p>
      <w:r>
        <w:rPr>
          <w:b/>
        </w:rPr>
        <w:t>E. 10.1</w:t>
      </w:r>
    </w:p>
    <w:p>
      <w:r>
        <w:t>L’appelant conteste la peine qui lui a été infligée et se prévaut des art. 51, 54 et 57 al. 3 CP.</w:t>
      </w:r>
    </w:p>
    <w:p>
      <w:r>
        <w:rPr>
          <w:b/>
        </w:rPr>
        <w:t>E. 10.2.1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10.3</w:t>
      </w:r>
    </w:p>
    <w:p>
      <w:r>
        <w:t>En l’espèce, comme l’ont retenu les premiers juges, la culpabilité de l’appelant est importante (cf. jgt, pp. 43 à 45). Les faits qu’il a commis sont graves, en tant qu’il s’en est pris au sentiment de sécurité et à la liberté d’action de plusieurs personnes, à savoir une avocate, des gens qui lui rendaient service ainsi qu’au directeur de la prison où il est incarcéré, à l’égard duquel il a par ailleurs attenté plusieurs fois à l’honneur, soit à chaque occasion où il a dû faire face à une frustration, en recourant à de l’intimidation, des menaces et des propos outranciers et insultants. Pour une partie des lésés, les agissements pénalement répréhensibles de l’appelant se sont répétés, notamment à l’égard de celui qu’il considère comme son « meilleur ami » (cf. p. 4), R.A.________. L’appelant a en outre détenu un récit pédopornographique, qu’il a dactylographié. Ses mobiles sont purement égoïstes. L’appelant fait preuve d’une absence totale de remise en question, tant sur le plan des agissements qui lui sont reprochés à l’égard de la famille R.A.________, de son ancienne avocate et du directeur de la prison, qu’en lien avec l’écrit retrouvé dans l’ordinateur qui était mis à sa disposition, n’hésitant pas, à ce sujet, à en faire l’éloge. Ne montrant aucune forme d’empathie, l’appelant semble inaccessible à toute prise de conscience. Il convient néanmoins de prendre en compte les excuses qu’il a formulées à l’encontre du plaignant X.________, qui ont toutefois été exprimées de manière pour le moins mesurée. Les antécédents de l’appelant sont mauvais. Alors qu’il a été condamné pour des actes d’ordre sexuel sur des enfants, et même s’il persiste à les nier, il a à nouveau contrevenu à une disposition protégeant un des biens juridiques les plus précieux, soit l’intégrité sexuelle des enfants. L’appelant n’a pas hésité à récidiver. Les infractions sont en concours, facteur aggravant. On ne discerne pas d’élément à décharge. Compte tenu des éléments qui précèdent, toutes les infractions passibles d’une peine privative de liberté justifient le prononcé d’une telle sanction, pour des motifs de prévention spéciale. L’infraction de pornographie dure constitue l’infraction la plus grave et impose, à elle seule, le prononcé d’une peine privative de liberté de 7 mois, augmentée, par les effets du concours, de 5 mois pour réprimer les menaces proférées à l’encontre de X.________, de 3 mois pour la contrainte commise à l’encontre de Me G.________, et de 4 mois pour sanctionner les quatre cas où l’appelant s’est rendu coupable de tentative de contrainte à l’encontre de la famille R.A.________. La peine privative de liberté de 18 mois prononcée par les premiers juges, comportant la peine privative de liberté de 30 jours résultant de la révocation du sursis accordé le 16 mars 2020 par le Ministère public cantonal Strada, est donc largement justifiée et sera confirmée. La peine pécuniaire de 30 jours-amende prononcée par les premiers juges pour réprimer la diffamation est adéquate également et doit être confirmée, de même que le montant du jour-amende, arrêté à 30 francs. Le pronostic quant au comportement futur de l’appelant étant résolument défavorable, eu égard à ses antécédents, à la réitération d’infractions en cours d’enquête et à l’absence de remise en question de l’intéressé face à ses agissements, ces peines seront fermes. L’appelant se prévaut, à tort, de l’art. 54 CP, qui ne trouve manifestement pas application en l’espèce. On ne saurait en effet soutenir sérieusement que l’appelant a d’ores et déjà été puni par les conséquences de ses actes dans la présente affaire. Il fait valoir ses précédentes condamnations et la mesure d’internement dont il fait l’objet, circonstances qui sont sans rapport avec les actes qui lui sont reprochés. L’appelant plaide également l’application des art. 51 et 57 al. 3 CP. Le raisonnement tenu à ce sujet est téméraire puisqu’il n’a jamais été détenu dans le cadre de la présente procédure. Il en va de même de l’argument tendant à faire valoir l’inopportunité de toute peine privative de liberté prononcée contre lui en raison de la mesure d’internement qu’il exécute actuellement. En effet, un tel raisonnement reviendrait à considérer que cette mesure lui conférerait dorénavant l’impunité, ce qui n’est pas soutenable. Enfin, l’appelant invoque la violation des art. 3 et 5 CEDH, estimant que le prononcé d’une peine privative de liberté ferme, alors qu’il fait l’objet d’une mesure d’internement depuis plus de 27 ans, porterait atteinte à ses droits fondamentaux. Cet argument est infondé, la peine prononcée étant proportionnée aux actes réprimés dans la présente affaire et le lien de causalité entre la condamnation prononcée et la privation de liberté qui en résulte suffisant. Les conditions posées par la Cour européenne des droits de l’homme en la matière sont donc incontestablement réalisées. Les griefs doivent donc être rejetés.</w:t>
      </w:r>
    </w:p>
    <w:p>
      <w:r>
        <w:rPr>
          <w:b/>
        </w:rPr>
        <w:t>E. 11.1</w:t>
      </w:r>
    </w:p>
    <w:p>
      <w:r>
        <w:t>L’appelant conteste la révocation du sursis qui lui a été accordé le 16 mars 2020 par le Ministère public cantonal Strada.</w:t>
      </w:r>
    </w:p>
    <w:p>
      <w:r>
        <w:rPr>
          <w:b/>
        </w:rPr>
        <w:t>E. 11.2</w:t>
      </w:r>
    </w:p>
    <w:p>
      <w:r>
        <w:t>Aux termes de l'art. 46 al. 1 CP si, durant le délai d'épreuve, le condamné commet un crime ou un délit et qu'il y a dès lors lieu de prévoir qu'il commettra de nouvelles infractions, le juge révoque le sursis ou le sursis partiel. Selon l'art. 46 al. 2 1 re phrase CP, s'il n'y a pas lieu de prévoir que le condamné commettra de nouvelles infractions, le juge renonce à ordonner la révocation.</w:t>
      </w:r>
    </w:p>
    <w:p>
      <w:r>
        <w:rPr>
          <w:b/>
        </w:rPr>
        <w:t>E. 11.3</w:t>
      </w:r>
    </w:p>
    <w:p>
      <w:r>
        <w:t>En l’occurrence, l’appelant a agi, respectivement récidivé durant le délai d’épreuve accordé le 16 mars 2020 par le Ministère public. Il n’a à l’évidence tenu aucun compte de l’avertissement qu’aurait dû constituer cette condamnation. Ce sursis, qui n’a pas eu l’effet escompté, devait par conséquent être révoqué, même s’il concerne un autre domaine d’infractions. Compte tenu des explications fournies sur le calcul de la peine en application des règles sur le concours (cf. consid. 10.3 ci-dessus), la peine privative de liberté d’ensemble de 18 mois prononcée par les premiers juges est justifiée.</w:t>
      </w:r>
    </w:p>
    <w:p>
      <w:r>
        <w:rPr>
          <w:b/>
        </w:rPr>
        <w:t>E. 12</w:t>
      </w:r>
    </w:p>
    <w:p>
      <w:r>
        <w:t>L’appelant conteste l’interdiction à vie d’exercer toute activité professionnelle et de toute activité non professionnelle organisée impliquant des contacts réguliers avec des mineurs prononcée contre lui par les premiers juges en vertu de l’art. 67 al. 3 let. d CP, dans la mesure où sa condamnation pour pornographie dure serait injustifiée. Ce grief est sans objet, la condamnation de l’appelant pour cette infraction étant confirmée.</w:t>
      </w:r>
    </w:p>
    <w:p>
      <w:r>
        <w:rPr>
          <w:b/>
        </w:rPr>
        <w:t>E. 13.1</w:t>
      </w:r>
    </w:p>
    <w:p>
      <w:r>
        <w:t>L’appelant conteste la confiscation des objets séquestrés en cours d’enquête. Il entend se voir restituer l’ensemble des objets listés sous chiffre VII à IX du dispositif du jugement querellé.</w:t>
      </w:r>
    </w:p>
    <w:p>
      <w:r>
        <w:rPr>
          <w:b/>
        </w:rPr>
        <w:t>E. 13.2</w:t>
      </w:r>
    </w:p>
    <w:p>
      <w:r>
        <w:t>La condamnation de l’appelant étant confirmée, les deux ordinateurs, dans lesquels le fichier pédopornographique a été retrouvé, devraient être confisqués et détruits (art. 197 al. 6 CP). Cela étant, en application du principe de proportionnalité et dès lors qu’un tiers, en l’occurrence les EPO, louait ledit matériel informatique à l’appelant, il convient de restituer les ordinateurs à leur propriétaire, à savoir les Etablissements pénitentiaires précités, une fois qu’ils auront été purgés de tout fichier illicite. S’agissant des autres objets, respectivement des documents séquestrés, ils seront confisqués et détruits. En effet, le classeur séquestré chez S.________ n’a pas fait l’objet d’une revendication de sa part et les autres documents séquestrés en mains de l’appelant sont susceptibles de représenter un danger, en tant qu’ils contiennent des menaces explicites, des informations sur le cyanure ainsi que des injures à caractère raciste (cf. art. 69 CP), et ce même en l’absence de plainte ou en cas de retrait de celle-ci, étant ici rappelé que la condamnation de l’appelant pour menaces, diffamation, contrainte et tentative de contrainte est confirmée, au même titre que celle pour pornographie dure, ce qui impose la confiscation et la destruction du texte pédopornographique (art. 197 al. 6 CP). Les griefs de l’appelant doivent donc être rejetés et le jugement entrepris confirmé sur ce point également.</w:t>
      </w:r>
    </w:p>
    <w:p>
      <w:r>
        <w:rPr>
          <w:b/>
        </w:rPr>
        <w:t>E. 14</w:t>
      </w:r>
    </w:p>
    <w:p>
      <w:r>
        <w:t>Vu le sort de l’appel, il n’y a pas lieu de revoir la répartition des frais de justice telle qu’elle a été arrêtée par les premiers juges, y compris en ce qui concerne l’indemnité du défenseur d’office de l’appelant.</w:t>
      </w:r>
    </w:p>
    <w:p>
      <w:r>
        <w:rPr>
          <w:b/>
        </w:rPr>
        <w:t>E. 15</w:t>
      </w:r>
    </w:p>
    <w:p>
      <w:r>
        <w:t>La conclusion de l’appelant tendant à l’allocation d’une indemnité en tort moral d’un franc symbolique est sans objet.</w:t>
      </w:r>
    </w:p>
    <w:p>
      <w:r>
        <w:rPr>
          <w:b/>
        </w:rPr>
        <w:t>E. 16</w:t>
      </w:r>
    </w:p>
    <w:p>
      <w:r>
        <w:t>En définitive, l’appel, mal fondé, doit être rejeté et le jugement entrepris intégralement confirmé. Aux débats d’appel, Me Julien Perrin, défenseur d’office de l’appelant, a produit une liste de ses opérations faisant état de 58 heures et 9 minutes d’activité, dont 36 heures et 36 minutes ont été consacrées par son avocat-stagiaire. La durée annoncée est excessive. Il y a ainsi lieu de retrancher une heure du temps consacré aux opérations post-audience – d’ores et déjà indemnisée par les premiers juges – et de ramener à 13 heures et 36 minutes le temps consacré à la rédaction de la déclaration d’appel, annoncé à hauteur de 40 heures et 9 minutes. Cette activité sera indemnisée au tarif d’avocat breveté, la durée consacrée par l’avocat-stagiaire à la rédaction du mémoire d’appel devant être considéré comme de la formation qui n’a pas à être supportée par l’assistance judiciaire. En définitive, c’est une indemnité totale de 5'777 fr. 60 qui sera allouée à Me Julien Perrin pour la procédure d’appel, correspondant à une activité d’avocat de 21 heures et 33 minutes au tarif horaire de 180 fr., respectivement d’avocat-stagiaire de 8 heures et 27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4'808 fr. 50, à des débours forfaitaires à hauteur de 2 % des honoraires admis, soit 96 fr. 17, à trois vacations à 120 fr. et une vacation à 80 fr. (art. 3bis al. 1 et al. 3 RAJ) et à un montant de 432 fr. 92 correspondant à la TVA au taux de 8,1 % sur le tout. Vu l’issue de la cause, les frais de la procédure d’appel, constitués des émoluments de jugement, par 3’960 fr., et d’audience, par 400 fr. (art. 21 al. 1 et 2 TFIP), ainsi que des frais imputables à la défense d’office, par 5'777 fr. 60, soit au total 10'137 fr. 60, seront mis à la charge de l’appelant, qui succombe. L’appelant sera tenu de rembourser à l’Etat de Vaud l’indemnité en faveur de son défenseur d’office mise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