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29 vom 10. Juli 2023</w:t>
      </w:r>
    </w:p>
    <w:p>
      <w:r>
        <w:t>VD Tribunal cantonal, 2023-07-10, FR</w:t>
      </w:r>
    </w:p>
    <w:p>
      <w:r>
        <w:rPr>
          <w:b/>
        </w:rPr>
        <w:t xml:space="preserve">Quelle: </w:t>
      </w:r>
      <w:r>
        <w:t>https://mcp.opencaselaw.ch/entscheid/vd_findinfo_Jug___2025___29</w:t>
      </w:r>
    </w:p>
    <w:p>
      <w:r>
        <w:t>FR: VD_FINDINFO Jug / 2025 / 29 du 10 juillet 2023</w:t>
      </w:r>
    </w:p>
    <w:p>
      <w:r>
        <w:t>IT: VD_FINDINFO Jug / 2025 / 29 del 10 luglio 2023</w:t>
      </w:r>
    </w:p>
    <w:p>
      <w:pPr>
        <w:pStyle w:val="Heading2"/>
      </w:pPr>
      <w:r>
        <w:t>Regeste</w:t>
      </w:r>
    </w:p>
    <w:p>
      <w:r>
        <w:t>DÉPENS, ACQUITTEMENT, DÉCISION SUR FRAIS | 107 al. 2 LTF, 429 al. 1 let. a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w:t>
      </w:r>
    </w:p>
    <w:p>
      <w:r>
        <w:rPr>
          <w:b/>
        </w:rPr>
        <w:t>E. 2</w:t>
      </w:r>
    </w:p>
    <w:p>
      <w:r>
        <w:t>Dans son arrêt du 26 novembre 2024, le Tribunal fédéral a prononcé l’acquittement de O.________ et a renvoyé la cause à la Cour de céans pour qu’elle rende une nouvelle décision sur les frais et dépens cantonaux. Par conséquent, l’appel formé par O.________ doit être admis et le jugement du Tribunal de police de l’arrondissement de la Côte réformé dans le sens jugé par le Tribunal fédéral. L’appelante doit ainsi être libérée de l’infraction d’empêchement d'accomplir un acte officiel, les frais de première instance étant laissés à la charge de l’Etat (art. 423 CPP). Au vu de son acquittement, l’appelante a droit, pour la procédure de première instance, à une indemnité pour les dépenses occasionnées par l’exercice raisonnable de ses droits de défense. Son défenseur de choix a produit un relevé des opérations faisant état de débours s’élevant à 107 fr. 80 et d’une activité de 17,1 heures, audience de jugement non comprise (P. 59). Cette durée peut être admise en partant du principe qu’elle inclut également celle de l’audience, car le temps consacré à l’étude du dossier et aux conférences avec la cliente est quelque peu excessif (plus de 6 heures) s’agissant d’une cause simple de police ne comportant qu’un bref état de fait. Pour les mêmes raisons, la rémunération horaire peut être arrêtée à 250 francs. L’indemnité allouée à O.________ pour la procédure de première instance sera ainsi fixée à 4'275 fr., montant auquel s’ajoute des débours, par 107 fr. 80, et la TVA sur le tout, au taux de 7,7%, par 337 fr. 50, soit 4'720 fr. 30 au total, à la charge de l’Etat.</w:t>
      </w:r>
    </w:p>
    <w:p>
      <w:r>
        <w:rPr>
          <w:b/>
        </w:rPr>
        <w:t>E. 3</w:t>
      </w:r>
    </w:p>
    <w:p>
      <w:r>
        <w:t>Vu l’issue de la cause, les frais d'appel antérieurs et postérieurs à l'arrêt du Tribunal fédéral du 26 novembre 2024, qui s’élèvent respectivement à 1’940 fr. et 550 fr. (art. 21 al. 1 et 2 2 e phrase TFIP [tarif des frais de procédure et indemnités en matière pénale du 28 septembre 2010 ; BLV 312.03.1], seront laissés à la charge de l'Etat (art. 423 CPP). Le montant d’une pleine indemnité pour les dépenses occasionnées par l'exercice raisonnable des droits de défense en procédure d’appel a déjà été arrêté dans le jugement d’appel du 12 décembre 2023 à 2'051 fr. 70, sur la base d’une rémunération horaire de 250 fr. également. On peut s’y référer (jugement d’appel, p.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