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285 vom 16. Dezember 2024</w:t>
      </w:r>
    </w:p>
    <w:p>
      <w:r>
        <w:t>VD Tribunal cantonal, 2024-12-16, FR</w:t>
      </w:r>
    </w:p>
    <w:p>
      <w:r>
        <w:rPr>
          <w:b/>
        </w:rPr>
        <w:t xml:space="preserve">Quelle: </w:t>
      </w:r>
      <w:r>
        <w:t>https://mcp.opencaselaw.ch/entscheid/vd_findinfo_Jug___2025___285</w:t>
      </w:r>
    </w:p>
    <w:p>
      <w:r>
        <w:t>FR: VD_FINDINFO Jug / 2025 / 285 du 16 décembre 2024</w:t>
      </w:r>
    </w:p>
    <w:p>
      <w:r>
        <w:t>IT: VD_FINDINFO Jug / 2025 / 285 del 16 dicembre 2024</w:t>
      </w:r>
    </w:p>
    <w:p>
      <w:pPr>
        <w:pStyle w:val="Heading2"/>
      </w:pPr>
      <w:r>
        <w:t>Regeste</w:t>
      </w:r>
    </w:p>
    <w:p>
      <w:r>
        <w:t>SURSIS À L'EXÉCUTION DE LA PEINE, ASSISTANCE DE PROBATION, DIRECTIVE{INJONCTION}, FRAIS JUDICIAIRES | 44 al. 1 CP, 44 al. 2 CP, 426 al. 2 CPP (CH)</w:t>
      </w:r>
    </w:p>
    <w:p>
      <w:pPr>
        <w:pStyle w:val="Heading2"/>
      </w:pPr>
      <w:r>
        <w:t>Erwägungen</w:t>
      </w:r>
    </w:p>
    <w:p>
      <w:r>
        <w:rPr>
          <w:b/>
        </w:rPr>
        <w:t>E. 41</w:t>
      </w:r>
    </w:p>
    <w:p>
      <w:r>
        <w:t>CO (Code des obligations du 30 mars 1911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 TF 7B_216/2022 du 1 er avril 2025 consid. 3.1). La condamnation d'un prévenu acquitté à supporter tout ou partie des frais peut en principe se fonder sur l'art. 28 CC (Code civil suisse du 10 décembre 1907 ; RS 210 ; TF 7B_33/2022 du 15 janvier 2024 consid. 3.1.2 et les références citées). 4.3 En l’espèce, l’appelant ayant été condamné pour les cas 2.1 et 2.2, les frais y relatifs doivent être mis à sa charge (art. 426 al. 1 CPP). Pour ce qui est du chiffre 2.3, l’appelant ne doit son acquittement qu’à l’absence du dépôt par la victime d’une plainte pénale à son encontre. Au demeurant, les faits sont constitutifs d’une violation des droits de la personnalité de son épouse. L’appelant a d’ailleurs fait l’objet d’une ordonnance d’expulsion prononcée à titre de mesures superprovisionnelles du 8 novembre 2022, fondée sur l’art. 28b al. 4 CC. C’est cet acte illicite qui est à l’origine de l’action pénale. C’est donc à bon droit que les premiers juges ont décidé de faire supporter à l’appelant l’intégralité des frais (art. 426 al. 2 CPP). Pour le surplus, et par surabondance, l’appelant est seul responsable de cette dette car il ne s’agit ni d’un cas de solidarité au sens de l’art. 143 CO (Code des obligations du 30 mars 1911 ; RS 220), ni d’un cas de représentation de l’union conjugale au sens de l’art. 166 CC. Quoi qu’il en soit, l’appelant disposant de revenus sous la forme d’une rente d’invalidité, il est en mesure de s’acquitter seul des frais de justice mis à sa charge, sans que son épouse doive indirectement les prendre en charge à sa place. 5. Au vu de ce qui précède, l’appel doit être rejeté et le jugement entrepris confirmé. Il y a lieu d’allouer à Me Irina Brodard-Lopez, défenseur d’office de F.________, une indemnité pour la procédure d’appel. Elle a produit à cet effet une liste des opérations faisant état de 9h51 d’activité. Il n’y a pas lieu de s’en écarter, si ce n’est afin de tenir compte de la durée effective de l’audience d’appel. Les honoraires s’élèvent ainsi à 1’836 fr., correspondant à 10h12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36 fr. 70, une vacation forfaitaire de 120 fr. (art. 3bis al. 3 RAJ), ainsi que la TVA au taux de 8,1 % sur le tout, par 161 fr. 40. L’indemnité s’élève donc à 2'154 fr. 15 au total. Les frais de procédure d’appel s’élèvent à 4'724 fr. 15. Ils sont constitués de l’émolument d’audience, par 700 fr. (art. 21 al. 2 TFIP), de l’émolument de jugement, par 1’870 fr. (art. 21 al. 1 TFIP), et de l’indemnité d’office arrêtée ci-dessus. Ils seront mis à la charge de F.________, qui succombe (art. 428 al. 1 CPP). F.________ sera tenu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