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282 vom 19. Januar 2024</w:t>
      </w:r>
    </w:p>
    <w:p>
      <w:r>
        <w:t>VD Tribunal cantonal, 2024-01-19, FR</w:t>
      </w:r>
    </w:p>
    <w:p>
      <w:r>
        <w:rPr>
          <w:b/>
        </w:rPr>
        <w:t xml:space="preserve">Quelle: </w:t>
      </w:r>
      <w:r>
        <w:t>https://mcp.opencaselaw.ch/entscheid/vd_findinfo_Jug___2025___282</w:t>
      </w:r>
    </w:p>
    <w:p>
      <w:r>
        <w:t>FR: VD_FINDINFO Jug / 2025 / 282 du 19 janvier 2024</w:t>
      </w:r>
    </w:p>
    <w:p>
      <w:r>
        <w:t>IT: VD_FINDINFO Jug / 2025 / 282 del 19 gennaio 2024</w:t>
      </w:r>
    </w:p>
    <w:p>
      <w:pPr>
        <w:pStyle w:val="Heading2"/>
      </w:pPr>
      <w:r>
        <w:t>Regeste</w:t>
      </w:r>
    </w:p>
    <w:p>
      <w:r>
        <w:t>MISE EN LIBERTÉ DÉFINITIVE, REJET DE LA DEMANDE, DÉTENTION POUR DES MOTIFS DE SÛRETÉ, EXÉCUTION ANTICIPÉE DES PEINES ET DES MESURES | 221 CPP (CH), 233 CPP (CH)</w:t>
      </w:r>
    </w:p>
    <w:p>
      <w:pPr>
        <w:pStyle w:val="Heading2"/>
      </w:pPr>
      <w:r>
        <w:t>Erwägungen</w:t>
      </w:r>
    </w:p>
    <w:p>
      <w:r>
        <w:rPr>
          <w:b/>
        </w:rPr>
        <w:t>E. 1</w:t>
      </w:r>
    </w:p>
    <w:p>
      <w:r>
        <w:t>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 L'art. 221 al. 1 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sur ce point, il y a lieu de continuer à tenir compte de la jurisprudence du Tribunal fédéral (cf. pour le détail ATF 146 IV 136 consid. 2.2 ; ATF 143 IV 9 consid. 2.3.1 et 2.8 à 2.10 ; ATF 137 IV 13 consid. 3 ; cf. TF 7B_583/2024 du 25 juin 2024 consid. 3.2.2 et la référence citée). Les crimes graves du même genre redoutés au sens de l'art. 221 al. 1 bis let. b CPP mettent en effet directement en danger la sécurité tant au regard de l'ancien droit (art. 221 al. 1 let. c aCPP) qu'à la lumière du nouveau droit (art. 221 al. 1 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7B_1025/2023 précité et les réf. cit.). 2.2.5 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2.2.6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2.3 En l’espèce, le requérant ne conteste à raison pas l’existence de soupçons suffisants de la commission d’un crime ou d’un délit. Celle-ci doit être retenue compte tenu de sa condamnation en première instance pour tentative de meurtre, de mise en danger de la vie d’autrui, d’infraction et contravention à la loi fédérale sur les armes ainsi que de contravention à la loi fédérale sur les stupéfiants, confirmée en appel et alourdie par une tentative de contrainte. Contrairement à ce qu’affirme le requérant, l’annulation par le Tribunal fédéral du jugement du 24 juin 2024 de la Cour de céans ne signifie pas nécessairement que le requérant sera libéré des chefs d’inculpation de tentative de meurtre et de mise en danger de la vie d’autrui, un nouveau jugement devant être rendu à cet égard. De même, le requérant ne se prononce pas sur les risques de fuite et de réitération qui avaient été retenus à sa charge dans le cadre de sa mise en détention, respectivement de son maintien en détention. En ce qui concerne le risque de fuite, s’il est vrai que les infractions de tentative de meurtre et de mise en danger de la vie d’autrui sont toujours contestées, il n’en demeure pas moins que le requérant a été condamné en première instance à une peine privative de liberté de 84 mois, sous déduction de 563 jours de détention avant jugement et 2 jours à titre de réparation du tort moral pour détention subie dans des conditions illicites. A ce jour, il a exécuté approximativement trois ans de détention. Le solde théorique de sa peine est d’une durée de nature à faire craindre que le requérant se soustraie à la procédure en prenant la fuite ou en tombant dans la clandestinité, l’issue de son appel demeurant pour l’heure incertaine. Il y a lieu également de considérer que le requérant a mis sa maison en vente et qu’il a indiqué, dans le cadre de ses relations amoureuses, qu’il envisageait de quitter la Suisse (P. 49). Le risque de fuite, non contesté par le requérant, demeure dès lors concret. S’agissant du risque de réitération, les faits retenus à l’encontre du requérant sont graves et concernent le bien juridique le plus précieux, soit la vie. On rappellera que le risque de récidive de violence interpersonnelle du requérant a été qualifié d’élevé par les experts le 9 mai 2023, aussi bien sous forme d’intimidations que sous forme de violence physique (P. 80). Selon l’expertise, les principaux facteurs de risque de violence interpersonnelle sont caractérisés par ses antécédents de violence et d’attitudes violentes, ses antécédents d’actes dyssociaux, ses problèmes dans ses relations interpersonnelles, son manque de réponse à la surveillance ainsi que la présence d’un trouble mixte de la personnalité, son manque d’introspection et de réponse au traitement thérapeutique qui y est lié. Le fait qu’il puisse accéder facilement à des armes et qu’il puisse présenter des difficultés d’adaptation à de nouveaux facteurs de stress à sa sortie de prison augmentaient le risque. Les experts ne pouvaient pas écarter un risque de nouvelles consommations de drogues, même si le requérant exprimait la volonté de rester abstinent à sa sortie de prison. Rien n’indique que le risque de récidive ou les facteurs augmentant ce risque qui ont été mis en évidence par les experts et qui sont particulièrement élevés seraient aujourd’hui atténués ou auraient disparus. Par ailleurs, le 13 mars 2024 le requérant a fait l’objet d’une décision de sanction pour consommation de produits prohibés (cocaïne) en date du 29 février 2024, élément qui n’est pas anodin dans un tel contexte. Le risque qualifié de récidive, non contesté par le requérant, demeure dès lors également concret. Au demeurant, aucune mesure de substitution (art. 237 CPP) n’est susceptible de présenter de garantie suffisante pour pallier les risques de fuite et de réitération retenus, le requérant n’en proposant d’ailleurs aucune. Enfin, en ce qui concerne la proportionnalité au sens étroit, comme relevé par le Ministère public, quand bien même le recours du requérant a été partiellement admis par le Tribunal fédéral, cette autorité a prononcé l'annulation de l'arrêt attaqué et le renvoi de la cause à l'autorité cantonale pour nouvelle décision, ce qui implique qu’à ce jour le condamné n'est pas libéré des chefs de prévention de tentative de meurtre et de mise en danger de la vie d'autrui. Le serait-il, qu’il y aurait encore lieu de tenir compte de la possibilité que les actes commis tombent sous le coup d’une autre qualification juridique. Le Tribunal fédéral a au demeurant confirmé les condamnations du requérant pour tentative de contrainte, infraction et contravention à la loi fédérale sur les armes et contravention à la loi fédérale sur les stupéfiants. Dès lors, au vu de la peine à laquelle le prévenu s’expose et de la durée de la détention d’ores et déjà effectuée et à venir jusqu’au nouveau jugement à intervenir dans les prochains mois, le principe de la proportionnalité demeure respecté (art. 212 al.</w:t>
      </w:r>
    </w:p>
    <w:p>
      <w:r>
        <w:rPr>
          <w:b/>
        </w:rPr>
        <w:t>E. 3</w:t>
      </w:r>
    </w:p>
    <w:p>
      <w:r>
        <w:t>En définitive, la demande de libération de X.________ doit être rejetée et sa mise en détention pour des motifs de sûreté ordonnée. Les frais de la présente procédure, constitués du seul émolument de prononcé, par 990 fr. (art. 21 al. 1 TFIP [tarif des frais de procédure et indemnités en matière pénale du 28 septembre 2010 ; BLV 312.03.1]),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