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260 vom 1. Januar 2021</w:t>
      </w:r>
    </w:p>
    <w:p>
      <w:r>
        <w:t>VD Tribunal cantonal, 2021-01-01, FR</w:t>
      </w:r>
    </w:p>
    <w:p>
      <w:r>
        <w:rPr>
          <w:b/>
        </w:rPr>
        <w:t xml:space="preserve">Quelle: </w:t>
      </w:r>
      <w:r>
        <w:t>https://mcp.opencaselaw.ch/entscheid/vd_findinfo_Jug___2025___260</w:t>
      </w:r>
    </w:p>
    <w:p>
      <w:r>
        <w:t>FR: VD_FINDINFO Jug / 2025 / 260 du 1 janvier 2021</w:t>
      </w:r>
    </w:p>
    <w:p>
      <w:r>
        <w:t>IT: VD_FINDINFO Jug / 2025 / 260 del 1 gennaio 2021</w:t>
      </w:r>
    </w:p>
    <w:p>
      <w:pPr>
        <w:pStyle w:val="Heading2"/>
      </w:pPr>
      <w:r>
        <w:t>Regeste</w:t>
      </w:r>
    </w:p>
    <w:p>
      <w:r>
        <w:t>CONTRAINTE{DROIT PÉNAL}, PRESSION, CONTRAINTE SEXUELLE, VIOL, REJET DE LA DEMANDE, CONJOINT | 181 CP, 189 CP, 190 CP</w:t>
      </w:r>
    </w:p>
    <w:p>
      <w:pPr>
        <w:pStyle w:val="Heading2"/>
      </w:pPr>
      <w:r>
        <w:t>Erwägungen</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w:t>
      </w:r>
    </w:p>
    <w:p>
      <w:r>
        <w:rPr>
          <w:b/>
        </w:rPr>
        <w:t>E. 4</w:t>
      </w:r>
    </w:p>
    <w:p>
      <w:r>
        <w:t>mai 2022 consid. 4.2 et les références citées). 3. 3.1 L’appelant sollicite, à titre de mesures d’instruction, les auditions de [...], [...], [...] et K.________. 3.2 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 TF 6B_971/2023 du 19 octobre 2023 consid. 1.1).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précité consid. 1.1), lorsque le requérant peut se voir reprocher une faute de procédure ou encore lorsque son comportement contrevient au principe de la bonne foi en procédure (TF 6B_44/2014 du 10 juillet 2014 consid. 2.2 ; TF 6B_614/2012 du 15 février 2013 consid. 3.2.3). 3.3 En l’espèce, l’appelant requiert les auditions de quatre témoins, qui auraient été présents lors du séjour en Espagne durant l’été 2022, sans toutefois exposer en quoi ces auditions seraient utiles pour le jugement de la cause ni pourquoi il ne les a pas requises en première instance. En tout état, l’administration des preuves précitées doit être refusée, celle-ci étant inutile pour le traitement de l’appel. En effet, le résultat des preuves administrées est pleinement suffisant en l’espèce pour permettre à la Cour de céans de forger sa conviction, comme on le verra ci-dessous (cf. infra consid. 4.3).</w:t>
      </w:r>
    </w:p>
    <w:p>
      <w:r>
        <w:rPr>
          <w:b/>
        </w:rPr>
        <w:t>E. 4.1</w:t>
      </w:r>
    </w:p>
    <w:p>
      <w:r>
        <w:t>L’appelant conteste sa condamnation pour contrainte (cf. supra consid. 1.3.1), contrainte sexuelle et viol (cf. supra consid. 1.3.5). Il se prévaut d’une constatation inexacte des faits et d’une mauvaise appréciation des preuves. En substance, l’appelant critique la valeur probante des messages extraits de son téléphone et le fait que le constat du CURML corroborerait la version des faits de la plaignante. Il fait en outre valoir « des comportements pour le moins contradictoires » chez la plaignante, soulignant qu’elle l’avait rejoint en Espagne et était rentrée avec lui en voiture. L’appelant se prévaut également de photographies prises lors des vacances. En définitive, l’appelant conteste le constat des premiers juges, qu’il qualifie d’arbitraire, selon lequel ses déclarations seraient contradictoires et peu fiables, à l’inverse de celles de la plaignante.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146 IV 88 consid. 1.3.1 ; ATF 145 IV 154 consid. 1. 1 ; TF 6B_215/2021 du 17 janvier 2022 consid. 1.2).</w:t>
      </w:r>
    </w:p>
    <w:p>
      <w:r>
        <w:rPr>
          <w:b/>
        </w:rPr>
        <w:t>E. 4.3</w:t>
      </w:r>
    </w:p>
    <w:p>
      <w:r>
        <w:t>En l’espèce, les premiers juges ont tout d’abord estimé que la crédibilité des diverses explications du prévenu était sujette à caution. A cet égard, ils ont relevé que ses dires étaient empreints de nuances et de contradictions à plus d’une reprise. Ainsi, si la lecture de sa première audition mettait en évidence une certaine prise de conscience quant à la détérioration de ses rapports avec son épouse, ses déclarations ultérieures n’en allaient pas de même et il était revenu sur ses précédentes déclarations lors des débats de première instance. Enfin, il avait adopté une posture à la limite de la témérité, allant jusqu’à mentir en indiquant par exemple que B.T.________ savait qu’il les filmait, alors que les vidéos montraient clairement qu’il le faisait à son insu ou encore lorsqu’il avait dans un premier temps nié avoir envoyé un message à G.________ le 21 octobre 2024. S’agissant des propos de la plaignante, les premiers juges ont retenu qu’ils pouvaient leur accorder une crédibilité plus grande, étant invariables, cohérents et mesurés. La plaignante avait montré un visage posé et calme, tranchant avec la description faite par le prévenu et n’avait pas paru animée d’une volonté de se venger ou d’accuser faussement le prévenu, déclarant qu’il ne s’était jamais montré violent envers leur fille. Elle n’avait en outre pas hésité à assumer sa propre part de responsabilité dans l’échec du couple et avait reconnu avoir elle-même eu des paroles et gestes violents. Il n’y avait donc aucune raison de douter de la véracité des dires clairs et circonstanciés de B.T.________. Ce d’autant que ses déclarations étaient corroborées par plusieurs éléments matériels. Ainsi, les premiers juges ont souligné que les messages issus de l’extraction téléphonique du prévenu était l’exacte retranscription de ce que la plaignante avait exposé avoir subi tant au niveau psychique que physique lors de son audition du 10 juillet 2022, alors qu’elle ignorait à ce moment-là aussi bien leur existence que leur contenu. Ils ont également constaté que le prévenu avait exécuté de manière méticuleuse les actes qu’il avait annoncé vouloir faire subir à son épouse déjà plusieurs jours auparavant. Enfin, les explications données par le prévenu à cet égard n’étaient absolument pas convaincantes et aussi bien souvent mensongères, comme lorsqu’il explique que ses messages ont été écrits dans des groupes, ce qui était infirmé par pièce. Enfin, les constats du CURML corroboraient la version des faits de la plaignante. Au terme d’une appréciation claire, détaillée et convaincante des éléments probatoires, les premiers juges ont retenu la version des faits de la plaignante, telle que reprise dans l’acte d’accusation. La Cour de céans adhère pleinement à cette appréciation. Tout d’abord, il ressort de l’extraction effectuée sur le téléphone du prévenu que celui-ci a notamment envoyé le 21 juin 2022, à un certain « [...] » les messages suivants, ( sic ) : « mais sache que je veux lui dire de me faire encore la totale pour les vacances de rage » « Elle mérite d’être brigandée », « la soumission », « encule de rage », « elle mérite ». Le 27 juillet 2022, il a écrit ( sic ) : « Mais je vais essayer de lui fait un piège ». Le 2 juillet 2022, il a envoyé les messages suivants à son ami K.________ ( sic ) : « (…) B.T.________ elle a voulu partir plus vite mais je l’ai interdit vu que je suis plus vite que prévu sont nos tours loupe (…) doit subir mes actes sexuels Et j’y vais pas demain morte lécher le trou du cul à répétition sodomie etc. », « Je me suis dit j’ai une semaine pour la traumatiser puis après plus point », « (…), j’ai mis les points sur les I et je lui ai fait du chantage que si elle faisait pas semblant de rien cette semaine et que tu peux avoir des actes sexuels répétition, Je tuerais pas son copain », « hier soir je lui est obligé à me laîche le cul comme la glace à [...] », « ce soir c’est sodomie ». Le 3 juillet 2022, il lui a indiqué (sic) : « Elle a ramassé comme jamais ! », « la je suis dans une phase si tu m’aides pas ton G.________ il vol à tout jamais », « mais j’adore elle a tellement peur pour son G.________ », « trop chou du coup elle est prête à me faire plaisir quand je veux » « mais je la laisse partir mais en revanche c’est gaterie minimum » « Je vais prendre de photo en douce de notre relation semelles comme ça G.________ sera sur le cul », « la vengeance est un plat qui se mange froid », « je veux bien accepter sa décision mais elle doit payer » (P. 55/1 et 55/2). Contrairement à ce que soutient l’appelant, les messages précités sont accablants et ne sont pas que l’expression d’une colère – en soi d’ailleurs déjà très révélatrice de son comportement tyrannique – mais surtout, ils confirment exactement la version de la plaignante sur les menaces et le chantage exercé par son mari, ainsi que sur la brutalité sexuelle de celui-ci et plus particulièrement sur la nature des actes sexuels imposés. L’appelant perd ainsi de vue que les messages précités constituent des preuves matérielles venant accréditer la version de la plaignante tant au niveau des actes que des pressions subies. Il en va de même du constat médico-légal dressé par le CURML, qui atteste de diverses ecchymoses au visage, sur le bras gauche et droite, en région lombo-sacrée et sur la fesse gauche (P. 19). En ce qui concerne les déclarations de l’appelant, celles-ci sont dépourvues de toute crédibilité. En particulier, la Cour relève que le prévenu a déclaré aux débats de première instance, avoir voulu entretenir des relations sexuelles avec B.T.________ pour « relier le lien » et qu’il voulait la « récupérer » (jgmt du 01.11.24, p. 15 et 16). Or, ces affirmations sont contredites par la teneur des messages échangés avec ses amis, qui est sans équivoque, en particulier lorsqu’il indique avoir « une semaine pour la traumatiser [ndlr : B.T.________] » ou encore qu’elle avait « ramassé comme jamais ! ». Interrogé, lors des débats, sur ces derniers termes utilisés ( supra , p. 3), l’appelant a, avec hésitation, expliqué qu’il s’agissait de « jargon » et qu’il entendait par là avoir fait l’amour à sa femme comme jamais pour la récupérer, ce qui contredit clairement les termes utilisés dans ses messages. Qui plus est, les termes utilisés par l’appelant sont particulièrement odieux et sont, quoi qu’il en dise, révélateurs d’un chantage sexuel et d’un projet froid et résolu de punir son épouse. S’agissant des prétendus comportements contradictoires adoptés par la plaignante, la Cour souligne qu’il n’est pas rare qu’une victime de violences conjugales donne le change sur le plan familial ou social. Cela ne signifie pas pour autant que ses déclarations s’agissant de sa vie de couple ne sont pas conformes à la vérité. En outre, la plaignante faisait l’objet de menaces et d’un chantage sexuel de la part de l’appelant, de sorte qu’il n’y a rien à tirer en sa faveur du fait qu’elle ait passé des vacances avec lui, qu’elle affiche un sourire sur les photographies prises à cette occasion, ou encore qu’elle soit ensuite rentrée en Suisse en sa compagnie. La plaignante a également déclaré qu’elle avait pleuré pendant les actes sexuels, qu’elle ne s’était pas débattue mais qu’elle avait giflé le prévenu le</w:t>
      </w:r>
    </w:p>
    <w:p>
      <w:r>
        <w:rPr>
          <w:b/>
        </w:rPr>
        <w:t>E. 9</w:t>
      </w:r>
    </w:p>
    <w:p>
      <w:r>
        <w:t>Il s’ensuit que l’appel doit être rejeté et le jugement entrepris intégralement confirmé. Me Alexa Landert, défenseur d’office de A.T.________, a produit une liste d’opérations dans laquelle elle indique une activité d’avocate de 28h10, audience comprise, dont 12 heures consacrées à l’étude du dossier et la rédaction de l’appel et du bordereau de pièces, ce qui est excessif compte tenu de la connaissance du dossier acquise en première instance. Le temps nécessaire à ces opérations sera arrêté à 8 heures. Pour le même motif, le temps consacré à la préparation de l’audience et de la plaidoirie de 5 heures sera également ramené à 3 heures. Enfin, il sera encore retranché une heure dévolue à l’examen du jugement de première instance, cette opération ayant d’ores et déjà été indemnisée en première instance. L’indemnité due sera dès lors fixée à 4'810 fr. (21h10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76 fr. 20, une vacation à 120 fr. et la TVA à 8,1 %, par 324 fr. 50, soit à un total de 4'330 fr. 70. Me Michael Stauffacher, conseil d’office de B.T.________, a produit une liste des opérations dans laquelle il indique une activité d’avocat de 9h26 (9.44h.), ce qui est adéquat. L’indemnité due sera dès lors fixée à 1'699 fr. 20 (9h26 x 180 fr.), plus des débours forfaitaires à concurrence de 2 % des honoraires admis (art. 19 al. 2 TDC, applicable par renvoi de l’art. 26a al. 6 TFIP), par 33 fr. 98, une vacation à 120 fr. et la TVA à 8,1 %, par 150 fr. 10, soit à un total de 2’003 fr. 30. Vu l’issue de la cause, les frais d’appel, par 10’004 fr., constitués en l’espèce des émoluments de jugement et d’audience, par 3’670 fr. (art. 21 al. 1 et 2 TFIP), ainsi que des indemnités de défenseur d’office et de conseil d’office précitées, seront mis à la charge de l’appelant, qui succombe (art. 428 al. 1 CPP). A.T.________ sera tenu de rembourser à l’Etat les indemnités allouées aux avocats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