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250 vom 18. Dezember 2024</w:t>
      </w:r>
    </w:p>
    <w:p>
      <w:r>
        <w:t>VD Tribunal cantonal, 2024-12-18, FR</w:t>
      </w:r>
    </w:p>
    <w:p>
      <w:r>
        <w:rPr>
          <w:b/>
        </w:rPr>
        <w:t xml:space="preserve">Quelle: </w:t>
      </w:r>
      <w:r>
        <w:t>https://mcp.opencaselaw.ch/entscheid/vd_findinfo_Jug___2025___250</w:t>
      </w:r>
    </w:p>
    <w:p>
      <w:r>
        <w:t>FR: VD_FINDINFO Jug / 2025 / 250 du 18 décembre 2024</w:t>
      </w:r>
    </w:p>
    <w:p>
      <w:r>
        <w:t>IT: VD_FINDINFO Jug / 2025 / 250 del 18 dicembre 2024</w:t>
      </w:r>
    </w:p>
    <w:p>
      <w:pPr>
        <w:pStyle w:val="Heading2"/>
      </w:pPr>
      <w:r>
        <w:t>Regeste</w:t>
      </w:r>
    </w:p>
    <w:p>
      <w:r>
        <w:t>EXPULSION{DROIT PÉNAL}, REJET DE LA DEMANDE | 66a al. 1 let. b CP</w:t>
      </w:r>
    </w:p>
    <w:p>
      <w:pPr>
        <w:pStyle w:val="Heading2"/>
      </w:pPr>
      <w:r>
        <w:t>Erwägungen</w:t>
      </w:r>
    </w:p>
    <w:p>
      <w:r>
        <w:rPr>
          <w:b/>
        </w:rPr>
        <w:t>E. 1</w:t>
      </w:r>
    </w:p>
    <w:p>
      <w:r>
        <w:t>Interjetés dans les formes et délais légaux (art. 399 CPP) par une partie ayant qualité pour recourir (art. 382 al. 1 CPP) contre le jugement d'un tribunal de première instance qui a clos la procédure (art. 398 al. 1 CPP), l'appel de T.________ est recevable. Les pièces produites par l'appelant le 8 avril 2025 en vue des débats d’appel sont également recevables (art. 389 al. 3 CPP ; TF 6B_654/2013 du 31 octobre 2013 consid. 2.2 et 2.3).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conteste son expulsion. Il soutient que le cas de rigueur serait réalisé. Se prévalant de la jurisprudence du Tribunal fédéral (cf. not. ATF 149 I 207), il fait valoir que, dans la mesure où il vit en Suisse depuis l'âge de 13 ans, les premiers juges auraient dû partir de la présomption qu'il était bien intégré et ensuite examiner s'il y avait de quoi renverser cette présomption. Or, ils avaient retenu une mauvaise intégration du fait qu'il avait vécu de petits boulots et n'avait été engagé à un poste fixe que « peu avant l'audience ». Il rappelle que, sur le plan professionnel, il avait travaillé sur appel mais avec la perspective de décrocher un emploi fixe, que dès sa sortie de prison il n'avait « mis que cinq mois » pour conclure une promesse d'embauche et qu'il avait finalement été engagé à un poste fixe six mois après sa libération et qu'il travaille toujours pour cet employeur, alors qu'il n'a aucune formation certifiée ; sur le plan personnel, il fait valoir qu'il a tenté de reconnaître ses enfants mais avait été mal renseigné et pensait que la mère devait être présente, que lorsqu'il avait enfin compris que tel n'était pas le cas il avait pris rendez-vous pour le faire seul, le 3 mars 2025, que quoi qu'il en soit ils s'étaient partagé avec S.________ la prise en charge des enfants, et que s'il voit moins ceux-ci, c'est parce qu'il fait l'objet d'une mesure d'éloignement.</w:t>
      </w:r>
    </w:p>
    <w:p>
      <w:r>
        <w:rPr>
          <w:b/>
        </w:rPr>
        <w:t>E. 3.2.1</w:t>
      </w:r>
    </w:p>
    <w:p>
      <w:r>
        <w:t>Aux termes de l'art. 66a al. 1 let. b CP, le juge expulse de Suisse l'étranger qui est condamné notamment pour lésions corporelles graves, quelle que soit la quotité de la peine prononcée à son encontre, pour une durée de cinq à quinze ans. Cette disposition s'applique également en cas de tentative (ATF 146 IV 105 consid. 3.4.1 ; ATF 144 IV 168 consid. 1.4.1 ; TF 7B_1317/2024 du 11 février 2025).</w:t>
      </w:r>
    </w:p>
    <w:p>
      <w:r>
        <w:rPr>
          <w:b/>
        </w:rPr>
        <w:t>E. 3.2.1.1</w:t>
      </w:r>
    </w:p>
    <w:p>
      <w:r>
        <w:t>supra ), il existe en l'espèce des motifs sérieux commandant de s'écarter de la présomption de liens suffisants avec la Suisse, dans la mesure où l'appelant présente des déficits d'intégration, pour les nombreuses raisons développées ci-dessus. S'agissant de la prise en compte d'une éventuelle atteinte à la vie familiale de T.________ et de l'intérêt de ses enfants, il sied de relever que T.________ n'est plus en couple avec S.________ depuis les graves violences qu'il a commises à l'encontre de celle-ci – au moyen d'un couteau, alors qu'elle tenait leur plus jeune enfant âgé de dix mois dans les bras et que l'aîné, âgé de trois ans et demi, était également présent – et qui sont à l'origine de la présente procédure. Dorénavant, en raison des faits qu'il a commis, il n'a plus le droit d'approcher ni la mère ni les enfants. Au jour des débats d'appel, il n'entretenait ainsi pas de relations personnelles avec ses enfants. Les pièces qu'il a produites au sujet de la prise en charge de ses enfants sont antérieures aux faits de la cause. Elles n'établissent du reste pas, comme il l'allègue, qu'il était très présent auparavant pour ses enfants. En réalité, même avant son incarcération, T.________ ne faisait pas ménage commun avec sa compagne et ses enfants, les voyant lorsqu'il se rendait au domicile d'S.________ ou lorsque celle-ci venait le voir à Genève. C'est cette dernière qui assumait seule ses enfants au quotidien. En outre, il ne contribue pas à leur entretien. Enfin, au jour des débats d'appel, il ne les avait pas encore reconnus légalement, prétextant des démarches administratives compliquées. Cependant, alors que la reconnaissance peut avoir lieu avant la naissance des enfants, l'appelant n'a entrepris des démarches en vue de reconnaître [...] et [...] qu'à compter du mois de juillet 2023 au plus tôt (cf. P. 106/2). Ses enfants étant nés respectivement au mois d'avril 2020 et au mois de décembre 2022, c'est la procédure pénale, avec ses conséquences, qui semble l'avoir aiguillonné sur ce plan. Pour l'ensemble de ces motifs, T.________ ne peut pas se prévaloir d'une atteinte à la vie familiale – qui n'existe plus et n'a jamais existé, en l'absence de ménage commun –. A distance ou lorsque ses enfants lui rendront visite lors des vacances, il pourra avoir des contacts avec ceux-ci, si la justice l'y autorise. En définitive, la Cour de céans considère qu'en l'absence d'intégration réussie et d'atteinte à sa vie familiale, l'expulsion de l'appelant du territoire suisse ne le met pas dans une situation personnelle grave au sens de l'art. 66a al. 2 CP. La première condition n'est dès lors pas réalisée, de sorte que la clause de rigueur n'est pas applicable. Il n'y a ainsi en principe pas lieu d'examiner si la seconde condition prévue à l'art. 66a al. 2 CP est réalisée – soit celle de savoir si l'intérêt privé de l'appelant à demeurer en Suisse l'emporte sur les intérêts publics à l'expulsion –, étant rappelé que les deux conditions sont cumulatives. La Cour de céans se limitera ainsi à relever que dite condition n'est en tout état de cause pas réalisée. L'appelant ayant été condamné à une peine privative de liberté de 30 mois, des circonstances extraordinaires doivent exister pour que l'intérêt privé de l'intéressé à rester en Suisse l'emporte sur l'intérêt public à son expulsion (cf. consid. 3.2.2.4 supra ). De telles circonstances extraordinaires font en l'espèce défaut. Comme déjà relevé, T.________ est mal intégré en Suisse et il ne peut pas se prévaloir d'une atteinte à sa vie familiale. L'intérêt de ses enfants, qu'il ne voit plus depuis le mois de novembre 2023, qu'il n'avait pas reconnus au stade des débats d'appel, pour lesquels il ne verse aucune contribution d'entretien et, surtout, auxquels il a fait vivre des instants terrifiants en agressant leur mère avec un couteau, ne justifie pas non plus qu'il demeure en Suisse. Au demeurant, l'appelant ne prétend pas que sa réintégration dans son pays d'origine serait compliquée. Il a vécu à l'Ile Maurice jusqu'à ses 13 ans et y retourne avec des membres de sa famille pour des vacances, parfois longues (cf. PV aud. 5). Sa mère s'y rend également (cf. jugement entrepris, p. 8). La situation qui prévaut dans le pays, notamment sur le plan social et économique, ne fera pas obstacle à sa réintégration, étant encore relevé que l'appelant parle le français, ce qui présente un avantage sur le marché de l'emploi. En revanche, l'intérêt public présidant à l'expulsion de l'appelant s'avère important, compte tenu de la violence des faits qu'il a commis à l'encontre de son ex-compagne. Le risque de récidive est au demeurant important. En effet, la prise de conscience de T.________ quant à la gravité de ses actes est limitée, étant précisé que bien qu'il n'ait pas fait appel sur les faits, il a persisté à contester les plus graves d'entre eux jusqu'aux débats d'appel comme dans la procédure civile. C'est, là encore, la procédure pénale et ses conséquences qui dirigent les démarches de l'appelant, qui a toujours déclaré qu'il n'avait pas besoin d'entreprendre une psychothérapie, jusqu'à la production à l'approche des débats d'appel d'un document attestant d'une demande effectuée en vue de débuter un tel suivi (P. 110/5). L'intérêt public prime dès lors sur l'intérêt privé de T.________ à rester en Suisse. Pour le surplus, l'appelant ne formule aucun grief relatif à la durée de la mesure prononcée à son encontre. La durée (minimale) de cinq ans s'avère d'ailleurs conforme au principe de la proportionnalité découlant des art. 5 al. 2 Cst. et 8 par. 2 CEDH. Partant, les griefs soulevés par l'appelant sont mal fondés et le jugement devra être confirmé, le prononcé de l'expulsion ne violant pas le droit fédéral et international.</w:t>
      </w:r>
    </w:p>
    <w:p>
      <w:r>
        <w:rPr>
          <w:b/>
        </w:rPr>
        <w:t>E. 3.2.2.1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 consid. 2.1.1 ; ATF 144 IV 332 consid. 3.3 ; TF 6B_886/2024 du 3 février 2025 consid. 3.1.1). La clause dite de rigueur permet de garantir le principe de la proportionnalité (cf. art. 5 al. 2 Cst.). Elle doit être appliquée de manière restrictive (ATF 146 IV 105 consid. 3.4.2 ; ATF 144 IV 332 consid. 3.3.1 ; TF 6B_703/2024 du 31 janvier 2025 consid. 2.1.2). Il convient de s'inspirer des critères énoncés à l'art. 31 al. 1 de l'ordonnance relative à l'admission, au séjour et à l'exercice d'une activité lucrative (OASA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 TF 6B_221/2025 du 4 avril 2025 consid. 1.1.2 ; TF 7B_1317/2024 précité consid. 2.2.1).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147 IV 453 consid. 1.4.5 ; TF 6B_886/2024 précité consid. 3.1.2 ; TF 7B_1317/2024 précité consid. 2.2.1). Pour se prévaloir du droit au respect de sa vie privée au sens de l'art. 8 par. 1 CEDH, l'étranger doit établir l'existence de liens sociaux et professionnels spécialement intenses avec la Suisse, notablement supérieurs à ceux qui résultent d'une intégration ordinaire. Selon la jurisprudence, il n'y a pas lieu d'adopter une approche schématique qui consisterait à présumer, à partir d'une certaine durée de séjour en Suisse, que l'étranger y est enraciné et dispose de ce fait d'un droit de présence dans notre pays. Il convient de procéder bien plutôt à une pesée des intérêts en présence, en considérant la durée du séjour en Suisse comme un élément parmi d'autres et en n'accordant qu'un faible poids aux années passées en Suisse dans l'illégalité, en prison ou au bénéfice d'une simple tolérance (ATF 149 I 207 consid. 5.3.1 ; ATF 134 II 10 consid. 4.3 ; TF 6B_627/2024 du 8 octobre 2024 consid. 1.2.2). Un séjour légal de dix années suppose en principe une bonne intégration de l'étranger (ATF 149 I 207 consid. 5.3.2 ; ATF 144 I 266 consid. 3.9 ; TF 7B_1317/2024 précité consid. 2.2.2).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Les relations familiales visées par l'art. 8 par. 1 CEDH sont avant tout celles qui concernent la famille dite nucléaire, soit celles qui existent entre époux, ainsi qu'entre parents et enfants mineurs vivant en ménage commun (ATF 144 II 1 consid. 6.1 ; ATF 135 I 143 consid. 1.3.2 ; TF 6B_221/2025 précité consid. 1.1.4). En l'absence de ménage commun avec son enfant et de relations personnelles entretenues de manière régulière, la seule présence en Suisse de l'enfant du recourant ne permet en principe pas de considérer qu'il existe une atteinte à la vie familiale au sens de l'art. 8 par. 1 CEDH et, par conséquent, que son expulsion l'expose à une situation personnelle grave (TF 6B_1461/2022 du 22 mars 2023 consid. 1.1.1 ; TF 6B_745/2022 du 22 février 2023 consid 3.2.2).</w:t>
      </w:r>
    </w:p>
    <w:p>
      <w:r>
        <w:rPr>
          <w:b/>
        </w:rPr>
        <w:t>E. 3.2.2.2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de la loi fédérale du 26 juin 1998 sur l'asile [LAsi; RS 142.31] ; art. 33 de la Convention du 28 juillet 1951 relative au statut des réfugiés [RS 0.142.3] ; art. 3 de la Convention du 10 décembre 1984 contre la torture et autres peines ou traitements cruels, inhumains ou dégradants [RS 0.105]), alors même que ces garanties sont encore expressément réservées par l'art. 66d al. 1 CP (ATF 149 IV 231 consid. 2.1.2 ; 147 IV 453 consid. 1.4.5).</w:t>
      </w:r>
    </w:p>
    <w:p>
      <w:r>
        <w:rPr>
          <w:b/>
        </w:rPr>
        <w:t>E. 3.2.2.3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6B_886/2024 précité consid. 3.1.2).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no 6325/15, § 57] ; I.M. c. Suisse du 9 avril 2019 [requête no 23887/16], § 69; Kissiwa Koffi c. Suisse du 15 novembre 2012 [requête no 38005/07], § 63; Üner c. Pays-Bas du 18 octobre 2006, [requête no 46410/99], §§ 57 s.; Sezen c. Pays-Bas du 31 janvier 2006 [requête no 50252/99], § 42 ; TF 6B_1080/2023 du 30 avril 2025 consid. 3.2.2 ; TF 6B_751/2023 précité consid. 2.2.2 ; TF 6B_1116/2022 précité consid. 3.1.3).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 4.3.1 et les références citées).</w:t>
      </w:r>
    </w:p>
    <w:p>
      <w:r>
        <w:rPr>
          <w:b/>
        </w:rPr>
        <w:t>E. 3.2.2.4</w:t>
      </w:r>
    </w:p>
    <w:p>
      <w:r>
        <w:t>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(TF 6B_1248/2023 du 9 avril 2024 consid. 3.4 ; TF 6B_694/2023 du 6 décembre 2023 consid. 3.2.2).</w:t>
      </w:r>
    </w:p>
    <w:p>
      <w:r>
        <w:rPr>
          <w:b/>
        </w:rPr>
        <w:t>E. 3.3</w:t>
      </w:r>
    </w:p>
    <w:p>
      <w:r>
        <w:t>En l'espèce, l'appelant, de nationalité mauricienne, qui est condamné notamment pour tentative de lésions corporelles graves (art. 122 CP), remplit a priori les conditions d'une expulsion obligatoire (art. 66a al. 1 let. b CP), sous réserve d'une application de la clause de rigueur (art. 66a al. 2 CP). Il y a ainsi lieu d'examiner si l'expulsion le placerait dans une situation personnelle grave. Sous l'angle du droit au respect de la vie privée, il doit être tenu compte du fait que l'appelant – né en 1991 et arrivé en Suisse de l'Ile Maurice à l'âge de 13 ans – vit en Suisse depuis plus de 20 ans. Cependant, en dépit de la longue durée de son séjour en Suisse, la Cour de céans constate que T.________ est mal intégré. Il n'a pas terminé de formation professionnelle, disant « chercher sa voie » (jugement entrepris, p. 16). Il a exercé diverses activités qu'il qualifie lui-même de « petits boulots » durant de courtes périodes, mais a perçu l'aide sociale et bénéficié de subsides de l'assurance-maladie. En outre, il a vécu jusqu'à son incarcération partiellement chez sa mère pour des motifs financiers. S'il a dorénavant un emploi fixe, dans un magasin de CBD dont il est consommateur, cet élément est récent et n'est donc pas décisif. Par ailleurs, il a des dettes. Il doit aussi être tenu compte du fait qu'il a un mauvais antécédent routier – qui n'est pas anecdotique contrairement à ce qu'a plaidé la défense – dans la mesure où il blessé un cycliste en raison d'un comportement gravement imprudent adopté alors qu'il conduisait un motocycle. Du point de vue personnel, l'appelant n'allègue entretenir aucun lien social particulièrement étroit en Suisse, étant précisé qu'il sera revenu ci-après à sa relation avec ses enfants. Dans ces conditions, T.________ n'établit pas l'existence de liens sociaux et professionnels spécialement intenses avec la Suisse, notablement supérieurs à ceux qui résultent d'une intégration ordinaire. Il ne peut dès lors pas se prévaloir d'un droit au respect de sa vie privée au sens de l'art. 8 par. 1 CEDH. La jurisprudence du Tribunal fédéral à laquelle il se réfère (cf. ATF 149 I 207) ne lui est d'aucune aide. Cet arrêt concerne le renouvellement d'une autorisation de séjour, du point de vue administratif. Il retient que lorsqu'un étranger réside légalement depuis plus de dix ans en Suisse, il y a lieu de présumer que les liens sociaux qu'il a développés dans ce pays sont suffisamment étroits pour que le refus de prolonger son autorisation de séjour ne puisse être prononcé, sous l'angle de l'art. 8 CEDH, que pour motifs sérieux. Tel que cela résulte de la jurisprudence constante (cf. consid.</w:t>
      </w:r>
    </w:p>
    <w:p>
      <w:r>
        <w:rPr>
          <w:b/>
        </w:rPr>
        <w:t>E. 4</w:t>
      </w:r>
    </w:p>
    <w:p>
      <w:r>
        <w:t>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