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244 vom 27. November 2024</w:t>
      </w:r>
    </w:p>
    <w:p>
      <w:r>
        <w:t>VD Tribunal cantonal, 2024-11-27, FR</w:t>
      </w:r>
    </w:p>
    <w:p>
      <w:r>
        <w:rPr>
          <w:b/>
        </w:rPr>
        <w:t xml:space="preserve">Quelle: </w:t>
      </w:r>
      <w:r>
        <w:t>https://mcp.opencaselaw.ch/entscheid/vd_findinfo_Jug___2025___244</w:t>
      </w:r>
    </w:p>
    <w:p>
      <w:r>
        <w:t>FR: VD_FINDINFO Jug / 2025 / 244 du 27 novembre 2024</w:t>
      </w:r>
    </w:p>
    <w:p>
      <w:r>
        <w:t>IT: VD_FINDINFO Jug / 2025 / 244 del 27 novembre 2024</w:t>
      </w:r>
    </w:p>
    <w:p>
      <w:pPr>
        <w:pStyle w:val="Heading2"/>
      </w:pPr>
      <w:r>
        <w:t>Regeste</w:t>
      </w:r>
    </w:p>
    <w:p>
      <w:r>
        <w:t>CIRCULATION ROUTIÈRE{DROIT DE LA CIRCULATION ROUTIÈRE}, DISTANCE ENTRE VÉHICULES, AUTOROUTE, EXEMPTION DE PEINE | 100 ch. 1 al. 2 LCR, 90 al. 1 LCR, 90 al. 2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conteste sa condamnation pour violation grave des règles de la circulation routière concernant le cas 1 du 24 juillet 2022. Selon lui, ces faits justifieraient en effet tout au plus une violation simple des règles de la circulation routière.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Selon l’art. 90 LCR (loi fédérale sur la circulation routière du 19 décembre 1958 ; RS 731.01), celui qui viole les règles de la circulation prévues par cette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la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6B_973/2020 du 25 février 2021 consid. 2.1 ; TF 6B_1445/2019 du 17 avril 2020 consid. 2.2). Plus la violation de la règle de la circulation est objectivement grave, plus on admettra l'existence d'une absence de scrupules, sauf indice particulier permettant de retenir le contraire (ATF 142 IV 93 consid. 3.1).</w:t>
      </w:r>
    </w:p>
    <w:p>
      <w:r>
        <w:rPr>
          <w:b/>
        </w:rPr>
        <w:t>E. 3.3.1</w:t>
      </w:r>
    </w:p>
    <w:p>
      <w:r>
        <w:t>La première juge a retenu à l’encontre de l’appelant des appels de phares injustifiés ainsi que d’avoir circulé à une distance insuffisante de J.________, ce dernier ayant effectué des freinages brusques pour manifester son agacement, précisant que si l’appelant avait maintenu une distance suffisante, J.________ n’aurait pas freiné (jugement, p. 16). Elle a qualifié ces faits de violation graves des règles de la circulation routière.</w:t>
      </w:r>
    </w:p>
    <w:p>
      <w:r>
        <w:rPr>
          <w:b/>
        </w:rPr>
        <w:t>E. 3.3.2</w:t>
      </w:r>
    </w:p>
    <w:p>
      <w:r>
        <w:t>Les appels de phares sont admis par l’appelant. A suivre scrupuleusement l’acte d’accusation, il résulte du fait que J.________ s’est déporté avec son véhicule sur la voie de dépassement en omettant d’enclencher son clignotant que l’appelant, qui arrivait à sa hauteur, a été surpris et a été obligé de freiner. En pareille situation, on doit pouvoir considérer que des appels de phares ne sont pas abusifs. A tout le moins, il n’y a pas lieu d’y voir une violation suffisamment caractérisée de l’art. 40 LCR, qui prévoit : « Si la sécurité de la circulation l’exige, le conducteur avertira les autres usagers de la route. Les signaux avertisseurs inutiles ou excessifs seront évités. L’emploi du signal avertisseur en guise d’appel est interdit. », ou de l’art. 29 OCR (ordonnance du 13 novembre 1962 sur les règles de la circulation routière ; RS 741.11), qui prévoit : « Le conducteur se comporte de manière à ne pas devoir donner des signaux avertisseurs acoustiques ou des signaux optiques. Il n’a le droit de donner de tels signaux que lorsque la sécurité du trafic l’exige. ». Enfint, ces appels de phares ne peuvent être qualifiés de violation grave à la LCR. En définitive, concernant ces faits, il convient de considérer que l’appelant n’a pas enfreint les art. 40 LCR et 29 OCR.</w:t>
      </w:r>
    </w:p>
    <w:p>
      <w:r>
        <w:rPr>
          <w:b/>
        </w:rPr>
        <w:t>E. 3.3.3</w:t>
      </w:r>
    </w:p>
    <w:p>
      <w:r>
        <w:t>Il faut admettre que l’acte d’accusation omet les faits les plus graves à l’égard de l’appelant. Il ressort en effet des auditions que l’appelant circulait sur la voie de gauche lorsque le véhicule conduit par J.________ s’est rabattu devant lui pour réaliser une manœuvre de dépassement. Ce point n’est pas contesté. L’appelant ne conteste pas non plus avoir effectué des appels de phares à l’intention de J.________. Les versions divergent sur la raison ayant motivé ces appels de phares. Selon l’appelant, il s’agissait de signifier à J.________ la dangerosité de sa manœuvre de dépassement car ce dernier se serait déporté sur la voie de gauche sans prévenir alors que l’appelant arrivait à sa hauteur. De son côté, J.________ affirme que l’appelant est arrivé rapidement en se positionnant à 5 mètres derrière lui alors qu’il réalisait sa manœuvre de dépassement. L’appelant n’aurait pas respecté une distance de sécurité suffisante et aurait effectué des appels de phares pour inciter J.________ à se rabattre sans délai sur la voie de droite. Selon l’appelant, J.________ a donné un coup de frein. L’absence de respect d’une distance de sécurité suffisante par l’appelant est démontrée par le comportement routier qu’il affirme lui-même avoir adopté, puisqu’il a déclaré s’être déporté sur la voie de droite immédiatement après le freinage intempestif de J.________. Le freinage de J.________ ne peut logiquement s’expliquer que par son agacement, provoqué par l’attitude de l’appelant qui le serrait de près et lui faisait des appels de phares. Le freinage dénoncé par l’appelant ne trouve aucune autre explication, dès lors que J.________ était lui-même en train de réaliser un dépassement. La vidéo montre par ailleurs que le trafic était fluide au moment des faits. Peu importe de savoir si J.________ a été inattentif au moment de s’engager sur la voie de gauche pour réaliser son dépassement. L’appelant n’avait aucune raison légitime de talonner le véhicule de J.________. Le raisonnement tenu par la première juge est ainsi parfaitement cohérent en ce qu’elle retient : « Il sera également retenu le fait pour D.________ d’avoir roulé à une distance insuffisante de J.________ […] » (p. 16 du jugement). Toutefois, l’acte d’accusation ne mentionne absolument rien à cet égard. Ni le freinage intempestif de J.________, ni l’absence de respect d’une distance de sécurité suffisante par l’appelant ne sont mentionnés. Il faut donc en rester aux faits dénoncés par l’acte d’accusation, selon lesquels J.________ a déboité subitement devant l’appelant, sans mettre son clignotant, contraignant ce dernier à un freinage brusque comme il l’a déclaré dans son audition devant la police (P. 4, p. 4), et libérer l’appelant des faits retenus par l’autorité de première instance à ce sujet s’agissant de la première phase des événements.</w:t>
      </w:r>
    </w:p>
    <w:p>
      <w:r>
        <w:rPr>
          <w:b/>
        </w:rPr>
        <w:t>E. 3.3.4</w:t>
      </w:r>
    </w:p>
    <w:p>
      <w:r>
        <w:t>En ce qui concerne maintenant la seconde phase des événements, intervenue sur la voie de droite, à savoir le reproche fait à l’appelant d’avoir « circulé à 5 mètres derrière le véhicule conduit par J.________ sur une distance non définie », la vidéo montre que J.________ s’est volontairement rabattu juste devant la voiture de l’appelant alors que les véhicules circulaient manifestement à moins de 100 km/h, probablement autour de 80 km/h à observer la vidéo. Alors qu’il se rabat sur la voie de droite devant la voiture de l’appelant, J.________ zigzague puis freine brusquement sans aucun motif valable. Evidemment, l’appelant aurait dû freiner lorsque le véhicule de J.________ a commencé à se rabattre juste devant lui. Il aurait dû rétablir sans attendre une distance de sécurité suffisante. Ce qui aurait encore réduit sa vitesse. Il n’en a rien fait, maintenant sa vitesse. Il n’a pas cherché un seul instant à recréer une distance de sécurité alors même qu’il savait ce dont J.________ était capable, pour avoir éprouvé un freinage intempestif peu de temps auparavant. Il faut par ailleurs prendre en compte que les faits se sont déroulés relativement rapidement dans le sens où après son freinage intempestif, soit immédiatement après avoir intégré complètement la voie de circulation de droite, J.________ s’est déporté sur la bande d’arrêt d’urgence pour laisser passer l’appelant en lui faisant signe de s’arrêter à la prochaine sortie, manifestement pour s’expliquer de vive voix avec lui, si ce n’est pour en découdre physiquement. Dans la situation que l’on peut observer sur la vidéo et qui concerne également les faits retenus par la première juge, c’est donc bien J.________ qui provoque délibérément une situation de danger. Il se rabat à l’évidence pour gêner l’appelant et le faire ralentir. Il freine ensuite pour l’effrayer, créant sans aucun scrupule une mise en danger concrète pour les usagers de la route. L’appelant n’a pas cherché à talonner J.________ à cet instant et ce dernier avait manifestement l’intention d’effectuer un freinage brusque pour l’effrayer. L’appelant doit en revanche assumer la responsabilité de ne pas avoir immédiatement cherché à recréer une distance de sécurité. Au regard de la jurisprudence, on peut toutefois encore considérer que ce comportement est resté dans les limites d’une violation simple des règles de la circulation routière, notamment en raison de la faible vitesse des véhicules et de la relative brièveté des événements. L’appelant n’a pas créé une mise en danger sérieuse de la sécurité d’autrui sur le plan objectif en conservant sa vitesse. Sur le plan subjectif, on ne peut lui reprocher une absence de prise de conscience du danger créé pour autrui qui reposerait elle-même sur une absence de scrupule. L’appelant subit le comportement de J.________. En d’autres termes, on ne discerne pas sur la vidéo une attitude de la part de l’appelant qui établirait un comportement sans scrupule ou gravement contraire aux règles de la circulation, c'est-à-dire une faute grave ou une négligence grossière. Les véhicules se sont suivis sur une distance relativement courte, car J.________ s’est ensuite rapidement déporté sur la bande d’arrêt d’urgence ; il y avait par ailleurs peu de trafic. En définitive, il faut considérer que l’appelant a commis une faute de circulation en ne rétablissant pas une distance de sécurité suffisante lorsque J.________ a intégré son véhicule sur la voie de droite, devant celui de l’appelant. L’appelant a enfreint l’art. 34 al. 4 LCR, qui prescrit que le conducteur observera une distance suffisante envers tous les usagers de la route, notamment pour croiser, dépasser et circuler de front ou lorsque des véhicules se suivent, et l’art. 12 al. 1 OCR qui prévoit, lorsque des véhicules se suivent, que le conducteur se tiendra à une distance suffisante du véhicule qui le précède, afin de pouvoir s’arrêter à temps en cas de freinage inattendu. Il faut dès lors admettre que l’appelant a commis une violation simple en lieu et place d’une violation grave et admettre son appel dans cette mesure.</w:t>
      </w:r>
    </w:p>
    <w:p>
      <w:r>
        <w:rPr>
          <w:b/>
        </w:rPr>
        <w:t>E. 4.1</w:t>
      </w:r>
    </w:p>
    <w:p>
      <w:r>
        <w:t>Il convient par conséquent de refixer la peine au regard des infractions retenues. A cet égard, l’appelant soutient que le cas 1 serait de très peu de gravité et justifierait une exemption de peine en application de l’art. 100 ch. 1 al. 2 LCR.</w:t>
      </w:r>
    </w:p>
    <w:p>
      <w:r>
        <w:rPr>
          <w:b/>
        </w:rPr>
        <w:t>E. 4.2.1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w:t>
      </w:r>
    </w:p>
    <w:p>
      <w:r>
        <w:rPr>
          <w:b/>
        </w:rPr>
        <w:t>E. 4.2.2</w:t>
      </w:r>
    </w:p>
    <w:p>
      <w:r>
        <w:t>L’art. 100 ch. 1 al. 2 LCR permet d’exempter le prévenu de toute peine dans les cas de très peu de gravité. Cette disposition autorise le juge, non seulement à prononcer l'exemption de toute peine, mais encore à atténuer la peine, à condition qu'il s'agisse d'un acte de très peu de gravité (ATF 95 IV 22 consid. 1c, JdT 1968 IV 60). Le cas de très peu de gravité est un cas bagatelle, où même une amende très modérée « de principe » apparaîtrait comme choquante parce que manifestement trop dure et non appropriée à la faute commise ; il y a lieu de retenir un tel cas de manière restrictive (ATF 105 IV 208 consid. 2b ; TF 6B_299/2011 du 1 er septembre 2011 consid. 3.4). La jurisprudence subordonne ainsi l'admission d'un cas de très peu de gravité à des exigences élevées. Toute négligence ne peut, en particulier, être appréciée comme particulièrement légère (ATF 117 IV 302 consid. 3b/cc). Savoir si le cas est de très peu de gravité dépend de l'ensemble des circonstances objectives et subjectives pertinentes pour l'appréciation de la faute (ATF 124 IV 184 consid. 3a ; TF 6B_299/2011 précité consid. 3.4). Ainsi, le juge n'acceptera un cas particulièrement léger au sens de l'art. 100 ch. 1 al. 2 LCR que si l'ensemble des circonstances du cas – telles que la vitesse, les conditions de la route et de la circulation ou les motivations de l'auteur – font apparaître la faute du prévenu comme particulièrement légère selon les valeurs de la loi. En ce qui concerne les motivations de l’auteur, il faut que celui-ci ait eu des motifs suffisants pour transgresser les règles de la circulation, qu’il ait pu avoir la certitude qu’il ne mettrait personne en danger et qu’objectivement, personne n’ait été mis en danger ou lésé (ATF 95 IV 22 consid. 1c, JdT 1968 IV 60).</w:t>
      </w:r>
    </w:p>
    <w:p>
      <w:r>
        <w:rPr>
          <w:b/>
        </w:rPr>
        <w:t>E. 4.3.1</w:t>
      </w:r>
    </w:p>
    <w:p>
      <w:r>
        <w:t>En l’espèce, l’infraction reprochée a été commise sur l’autoroute, où tout accident peut avoir des conséquences graves. En outre, on ne saurait considérer que l’appelant ait eu des motifs suffisants pour ne pas freiner dans le but d’agrandir la distance qui le séparait de J.________, cela d’autant qu’il avait déjà pu constater que J.________ avait un comportement dangereux sur la route. Dans ces circonstances, une exemption ou une atténuation de peine en application de l’art. 100 ch. 1 al. 2 LCR ne se justifie pas.</w:t>
      </w:r>
    </w:p>
    <w:p>
      <w:r>
        <w:rPr>
          <w:b/>
        </w:rPr>
        <w:t>E. 4.3.2</w:t>
      </w:r>
    </w:p>
    <w:p>
      <w:r>
        <w:t>L’infraction la plus grave concerne le cas 2 de l’acte d’accusation, soit une violation grave des règles de la circulation routière pour un excès de vitesse de 58 km/h en zone 60 km/h. Selon la Directive publique n° 1.5 du Ministère public vaudois, la peine pécuniaire à prononcer est de 120 jours-amende, étant rappelé que l’appelant n’a pas d’inscription à son casier judiciaire ni au registre des mesures du SIAC. Il convient dès lors de s’en tenir à 120 jours-amende dans les circonstances où l’infraction a été commise, qui ne justifient manifestement pas d’aggravation de la peine. Le montant du jour-amende peut être arrêté à 100 fr. compte tenu de la situation personnelle et financière de l’appelant. Il convient de lui accorder le sursis, dont il remplit les conditions (cf. art. 42 al. 1 à 3 CP [Code pénal suisse du 21 décembre 1937 ; RS 311.0]) et de fixer le délai d’épreuve au minimum légal de deux ans, aucun motif ne justifiant de prévoit une durée supérieure. Enfin, il n’y a pas lieu de lui infliger une amende à titre de sanction immédiate, dès lors qu’une amende doit de toute manière être prononcée pour les faits concernés au cas 1 de l’acte d’accusation. Compte tenu des circonstances, cette amende doit rester mesurée et sera fixée à 500 fr., convertibles en 5 jours de peine privative de liberté.</w:t>
      </w:r>
    </w:p>
    <w:p>
      <w:r>
        <w:rPr>
          <w:b/>
        </w:rPr>
        <w:t>E. 5</w:t>
      </w:r>
    </w:p>
    <w:p>
      <w:r>
        <w:t>En dépit de l’admission partielle de l’appel, il se justifie de confirmer la mise à charge de l’entier des frais de première instance à l’appelant, celui-ci ayant été pénalement sanctionné pour les deux cas qui lui étaient reprochés. Le ch. V du dispositif sera toutefois supprimé dans la mesure où son contenu correspond à celui du ch. XI., l’appelant ayant à tort été condamné deux fois aux frais de justice.</w:t>
      </w:r>
    </w:p>
    <w:p>
      <w:r>
        <w:rPr>
          <w:b/>
        </w:rPr>
        <w:t>E. 6</w:t>
      </w:r>
    </w:p>
    <w:p>
      <w:r>
        <w:t>mars 2025 apparaissant largement suffisant au regard du fait que Me Leis, intervenu en première instance, le connaissait déjà parfaitement. 4 heures et 15 minutes seront par ailleurs retranchées des 8h15 consacrées par l’avocat les 21 et 24 mars 2025 à la préparation d’une plaidoirie et de l’audience de jugement, aux recherches juridiques, à la rédaction d’un courrier et à l’entretien téléphonique avec le greffe du Tribunal cantonal, sachant que les recherches juridiques avaient déjà été faites au cours de la première instance et que pour ce même motif, le temps de préparation de l’audience, y compris la plaidoirie, apparaissent excessif. Compte tenu de la difficulté peu importante de la cause, le tarif horaire de l’avocat est fixé à 250 fr. (art. 26a al. 3 TFIP [tarif des frais de procédure et indemnités en matière pénale ; BLV 312.03.1]). Ainsi, les honoraires s’élèvent à 2’875 fr. (11h30 x 250 fr. (art. 2 al. 1 let. a RAJ [règlement sur l'assistance judiciaire en matière civile du 7 décembre 2010 ; BLV 211.02.3] par renvoi de l'art. 26b TFIP ), auxquels s’ajoutent les débours forfaitaires à hauteur de 2 % par 57 fr. 50 (art. 3bis al. 1 RAJ) et la TVA au taux de 8,1 % sur le tout, par 237 fr. 55. L’indemnité complète fondée sur l’art. 429 CPP pour les dépenses occasionnées par l’exercice raisonnable de ses droits en procédure d’appel s’élève donc à 3'170 fr. 05 francs. Compte tenu de l’issue de l’appel, elle sera toutefois réduite d’un quart, de sorte qu’elle s’élèvera à 2'377 fr. 50. Les frais de procédure d’appel, constitués de l’émolument de jugement par 1'940 fr. (art. 21 al. 1 et 2 TFIP) et des frais d’interprète (pour la témoin convoquée à l’audience d’appel), par 73 fr. 30 (art. 23 TFIP), s’élèvent à 2'013 fr. 30. Ils seront mis à raison de 1/4, soit 503 fr. 30, à la charge de l’appelant, le solde étant laissé à la charge de l’Etat (art. 428 al. 1 CPP). Le dispositif envoyé aux parties le 28 mars 2025 sera rectifié en conséquence, s’agissant d’une erreur manifeste au sens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