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242 vom 25. Februar 2025</w:t>
      </w:r>
    </w:p>
    <w:p>
      <w:r>
        <w:t>VD Tribunal cantonal, 2025-02-25, FR</w:t>
      </w:r>
    </w:p>
    <w:p>
      <w:r>
        <w:rPr>
          <w:b/>
        </w:rPr>
        <w:t xml:space="preserve">Quelle: </w:t>
      </w:r>
      <w:r>
        <w:t>https://mcp.opencaselaw.ch/entscheid/vd_findinfo_Jug___2025___242</w:t>
      </w:r>
    </w:p>
    <w:p>
      <w:r>
        <w:t>FR: VD_FINDINFO Jug / 2025 / 242 du 25 février 2025</w:t>
      </w:r>
    </w:p>
    <w:p>
      <w:r>
        <w:t>IT: VD_FINDINFO Jug / 2025 / 242 del 25 febbraio 2025</w:t>
      </w:r>
    </w:p>
    <w:p>
      <w:pPr>
        <w:pStyle w:val="Heading2"/>
      </w:pPr>
      <w:r>
        <w:t>Regeste</w:t>
      </w:r>
    </w:p>
    <w:p>
      <w:r>
        <w:t>EXPULSION{DROIT PÉNAL}, CAS DE RIGUEUR | 66a al. 2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Invoquant une violation des art. 5 annexe I ALPC (Accord entre la Confédération suisse, d’une part, et la Communauté européenne et ses Etats membres, d’autre part, sur la libre circulation des personnes du 21 juin 1999 ; RS 0.142.112.681), 190 Cst., 5 al. 2 Cst., 8 CEDH et, subsidiairement 66a al. 2 CP, l'appelant conteste son expulsion. Il explique qu’il a passé la quasi-totalité de sa vie en Suisse, qu’il est au bénéfice d'une rente Al, raison pour laquelle il ne pourrait pas travailler, que toute sa famille vivrait en Suisse, qu'il souhaiterait renouer avec ses enfants dès lors qu'il serait maintenant sevré, qu'il ne se serait plus rendu au Portugal depuis qu'il est majeur, qu'il n'y aurait aucun contact, que les infractions qu’il a commises seraient en lien direct avec ses problèmes d’addiction, qu'il ne consommerait plus et qu’il ne représenterait plus une menace pour la sécurité publique. Pour l’ensemble de ces motifs, son intérêt privé à rester en Suisse primerait l’intérêt public à son expulsion.</w:t>
      </w:r>
    </w:p>
    <w:p>
      <w:r>
        <w:rPr>
          <w:b/>
        </w:rPr>
        <w:t>E. 3.2.1</w:t>
      </w:r>
    </w:p>
    <w:p>
      <w:r>
        <w:t>Aux termes de l'art. 66a al. 1 let. d CP, le juge expulse de Suisse l'étranger qui est notamment condamné pour vol (art. 139 CP) en lien avec une violation de domicile (art. 186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w:t>
      </w:r>
    </w:p>
    <w:p>
      <w:r>
        <w:rPr>
          <w:b/>
        </w:rPr>
        <w:t>E. 3.2.2</w:t>
      </w:r>
    </w:p>
    <w:p>
      <w:r>
        <w:t>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w:t>
      </w:r>
    </w:p>
    <w:p>
      <w:r>
        <w:rPr>
          <w:b/>
        </w:rPr>
        <w:t>E. 3.2.3</w:t>
      </w:r>
    </w:p>
    <w:p>
      <w:r>
        <w:t>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La situation particulière des étrangers nés ou ayant grandi en Suisse, réservée par l'art. 66a al. 2 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A l'inverse, on peut partir du principe que le temps passé en Suisse est d'autant moins marquant que le séjour et la scolarité achevée en Suisse sont courts, de sorte que l'intérêt privé à rester en Suisse doit être considéré comme moins fort (ATF 146 IV 105 consid. 3.4.4 ; TF 6B_1247/2023 du 10 juin 2024 consid. 1.2.2).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Les relations familiales visées par l'art. 8 par. 1 CEDH sont avant tout celles qui concernent la famille dite nucléaire, soit celles qui existent entre époux ainsi qu'entre parents et enfants mineurs vivant en ménage commun (cf. ATF 144 II 1 précité consid. 6.1 ; ATF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par.1 CEDH et, par conséquent, que son expulsion l'expose à une situation personnelle grave (TF 6B_221/2025 du 4 avril 2025 consid. 1.1.4 ; TF 6B_514/2024 du 17 février 2025 consid. 3.4.2 ; TF 6B_327/2024 du 11 décembre 2024 consid. 4.4).</w:t>
      </w:r>
    </w:p>
    <w:p>
      <w:r>
        <w:rPr>
          <w:b/>
        </w:rPr>
        <w:t>E. 3.2.4</w:t>
      </w:r>
    </w:p>
    <w:p>
      <w:r>
        <w:t>Selon la jurisprudence du Tribunal fédéral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la protection de l'intégrité physique (ATF 145 IV 364 consid. 3.5.2 ; ATF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et le principe de proportionnalité (ATF 145 IV 364 consid. 3.5.2). L'exigence de la mise en danger actuelle n'implique pas qu'il faille s'attendre avec certitude à d'autres infractions, ou au contraire, que celles-ci soient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Les restrictions à la libre circulation au sens de l'art. 5 par. 1 annexe I ALCP doivent toutefois être interprétées restrictivement ; il ne peut pas être renvoyé simplement à l'ordre public indépendamment d'une perturbation de l'ordre social propre à toute infraction pénale. Un trafic de stupéfiants constitue une violation grave de l'ordre public au sens de l'art. 5 par. 1 annexe I ALCP (ATF 145 IV 364 consid. 3.5.2).</w:t>
      </w:r>
    </w:p>
    <w:p>
      <w:r>
        <w:rPr>
          <w:b/>
        </w:rPr>
        <w:t>E. 3.3</w:t>
      </w:r>
    </w:p>
    <w:p>
      <w:r>
        <w:t>L’intérêt de l’appelant à pouvoir demeurer en Suisse est important. Il s’y est installé avec sa famille, alors qu'il n'était âgé que de deux ans. Il y a ainsi passé la quasi-totalité de sa vie. Il y a effectué toute sa scolarité obligatoire et travaillé durant plusieurs années notamment comme plâtrier-peintre. On ne saurait lui reprocher un défaut d'intégration en raison de l'absence de travail, dès lors qu'il est désormais au bénéfice d'une rente d’invalidité à cause de problèmes de santé mentale. Ses parents, ses deux frères et ses trois enfants, âgés de 18, 15 et 10 ans, habitent en Suisse. Avant son incarcération, le prévenu habitait avec ses parents et ses deux frères. Il va retourner chez eux à sa sortie de détention. Il a limité les contacts avec ses trois enfants après sa séparation en raison de ses problèmes de drogue et d'alcool. Il est sevré en prison et souhaite renouer avec ses enfants, leur ayant écrit à la fin de l’année 2024 pour leur donner des explications sur sa situation. Ses liens avec son pays d'origine ne sont pas très étroits. Le prévenu parle le portugais, mais ne l’écrit pas. Il se rendait au Portugal une fois par année avec ses parents lorsqu'il était enfant. Il n'y est plus retourné une fois majeur, excepté pour se rendre à deux enterrements. Il a encore un oncle âgé et des cousins là-bas, mais n'a pas de contact avec eux. Ordonner l’expulsion de K.________ dans ces circonstances le mettrait sans conteste dans une situation personnelle grave. L’appelant a déjà été condamné en 2007. On peut toutefois relativiser cette précédente condamnation, puisque quasiment 20 ans se sont écoulés depuis. Le prévenu est désormais condamné pour vol, tentative de vol, dommages à la propriété, violation de domicile, empêchement d'accomplir un acte officiel, infraction et contravention à la loi fédérale sur les stupéfiants à une peine privative de liberté de onze mois. Dans le cadre de la présente affaire, il a commis de nouvelles infractions, alors que la procédure pénale était déjà ouverte à son encontre, ce qui est inquiétant. Lors de son audition du 22 mai 2024, il avait en outre été informé que les cambriolages commis par les étrangers étaient généralement sanctionnés par une expulsion du territoire suisse pour une durée de cinq à quinze ans. Cet avertissement n'a pas eu d'effet. Le prévenu explique que les faits sont à mettre en lien avec sa consommation de drogue, dès lors qu’il était retombé dans d'anciens travers en 2023. Il ressort de ses auditions en cours d'instruction que la mère de ses enfants lui a demandé de partir en raison de sa consommation de drogue, qu'il consommait régulièrement drogue et alcool depuis environ 2020, qu'il ne voulait pas que ses enfants le voient dans cet état et qu'il avait arrêté de voir sa psychiatre depuis qu’il s’était séparé. On peut admettre un lien entre les infractions commises et les consommations de l'appelant. Ce dernier affirme être sevré en détention, ce qui est normal, compte tenu du cadre contenant dans lequel il se trouve. Selon le Service de médecine et psychiatrie pénitentiaires, il a bénéficié depuis son incarcération d’un schéma de sevrage, d’un suivi infirmier régulier et d’une prise en charge médicale psychiatrique. Il se montre collaborant et souhaite poursuivre une prise en charge à l’extérieur de la prison (P. 46). Aux débats d’appel, l’appelant a affirmé que ces traitements lui étaient bénéfiques et qu’ils lui permettaient de réaliser des choses qu’il ne pouvait pas faire auparavant. Il a également expliqué qu’il souhaitait renouer avec ses enfants. A cet égard, W.________, ancienne compagne de l’appelant, a écrit à la Cour de céans pour exprimer son désaccord avec l’expulsion du prévenu, expliquant que cette mesure empêcherait leurs enfants de reconstruire des liens avec lui (P. 45/1). Enfin, le prévenu a également entrepris des démarches et écrit à diverses institutions pour bénéficier d’un suivi une fois sorti de détention (cf. P. 45/2). Au vu de l’ensemble des éléments qui précède, on peut exclure une mise en danger suffisamment importante et actuelle de l'ordre public par l'appelant. Il faut ainsi retenir que l'intérêt privé du prévenu à demeurer en Suisse l’emporte sur les intérêts publics à son expulsion. Partant, les éléments recueillis sont suffisants pour faire application de la clause de rigueur et renoncer à ordonner l’expulsion de K.________ du territoire suisse. L’appel de K.________ doit ainsi être admis.</w:t>
      </w:r>
    </w:p>
    <w:p>
      <w:r>
        <w:rPr>
          <w:b/>
        </w:rPr>
        <w:t>E. 4</w:t>
      </w:r>
    </w:p>
    <w:p>
      <w:r>
        <w:t>Conformément à l’art. 51 CP, la détention subie depuis le jugement de première instance sera déduite de la peine infligée à l’appelant. A l’instar de ce qu’a retenu le premier juge (jugement attaqué p. 15), il convient d’ordonner le maintien de l’appelant en détention pour des motifs de sûreté afin de garantir l’exécution de la peine.</w:t>
      </w:r>
    </w:p>
    <w:p>
      <w:r>
        <w:rPr>
          <w:b/>
        </w:rPr>
        <w:t>E. 5</w:t>
      </w:r>
    </w:p>
    <w:p>
      <w:r>
        <w:t>En définitive, l’appel de K.________ doit être admis et le jugement entrepris réformé dans le sens du considérant 3.3 ci-dessus. Me Milena Vaucher-Chiari, défenseur d’office de K.________, a produit une liste d’opérations faisant état de 18 heures et demie d’activité d’avocat, y compris la durée de l’audience d’appel estimée à 2 heures, de trois vacations et de débours forfaitaires à hauteur de 2 % des honoraires, TVA à 8,1 % en sus. Les opérations annoncées sont excessives. Compte tenu de la connaissance du dossier acquise en première instance et du fait que l’appel était limité à la question de l’expulsion de l’appelant, il y a lieu de réduire de 3 heures la durée consacrée à la rédaction du mémoire d’appel motivé (5 heures) et de 2 heures la durée dévolue à la préparation de l’audience (3 heures). Enfin, pour tenir compte de la durée effective des débats d’appel, il convient de retrancher encore 30 minutes. C’est ainsi une indemnité de 2'969 fr. 30, correspondant à 13 heures d’activité d’avocat au tarif horaire de 180 fr., par 2’340 fr., à des débours forfaitaires à hauteur de 2 % des honoraires admis (art. 3bis RAJ [règlement sur l’assistance judiciaire en matière civile du 7 décembre 2010 ; BLV 211.02.3], applicable par renvoi de l’art. 26b TFIP [tarif des frais de procédure et indemnités en matière pénale du 28 septembre 2010 ; BLV 312.03.1]), par 46 fr. 80, à trois vacations à 120 fr. chacune, et à la TVA au taux de 8,1 %, par 222 fr. 50, qui sera allouée à Me Milena Vaucher-Chiari pour la procédure d’appel. Vu l’issue de la cause, les frais de la procédure d’appel, par 5'099 fr. 30, constitués en l’espèce de l'émolument de jugement, par 2’130 fr. (art. 21 al. 1 et 2 TFIP), ainsi que de l’indemnité allouée au défenseur d’office de K.________, par 2'969 fr. 30,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