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238 vom 4. Dezember 2024</w:t>
      </w:r>
    </w:p>
    <w:p>
      <w:r>
        <w:t>VD Tribunal cantonal, 2024-12-04, FR</w:t>
      </w:r>
    </w:p>
    <w:p>
      <w:r>
        <w:rPr>
          <w:b/>
        </w:rPr>
        <w:t xml:space="preserve">Quelle: </w:t>
      </w:r>
      <w:r>
        <w:t>https://mcp.opencaselaw.ch/entscheid/vd_findinfo_Jug___2025___238</w:t>
      </w:r>
    </w:p>
    <w:p>
      <w:r>
        <w:t>FR: VD_FINDINFO Jug / 2025 / 238 du 4 décembre 2024</w:t>
      </w:r>
    </w:p>
    <w:p>
      <w:r>
        <w:t>IT: VD_FINDINFO Jug / 2025 / 238 del 4 dicembre 2024</w:t>
      </w:r>
    </w:p>
    <w:p>
      <w:pPr>
        <w:pStyle w:val="Heading2"/>
      </w:pPr>
      <w:r>
        <w:t>Regeste</w:t>
      </w:r>
    </w:p>
    <w:p>
      <w:r>
        <w:t>MEURTRE, TENTATIVE{DROIT PÉNAL}, ARME{OBJET}, EXPULSION{DROIT PÉNAL} | 22 ad 111 CP</w:t>
      </w:r>
    </w:p>
    <w:p>
      <w:pPr>
        <w:pStyle w:val="Heading2"/>
      </w:pPr>
      <w:r>
        <w:t>Erwägungen</w:t>
      </w:r>
    </w:p>
    <w:p>
      <w:r>
        <w:rPr>
          <w:b/>
        </w:rPr>
        <w:t>E. 1</w:t>
      </w:r>
    </w:p>
    <w:p>
      <w:r>
        <w:t>Interjetés dans les formes et délais légaux (art. 385 et 399 CPP), par des parties qui ont la qualité pour recourir contre le jugement d’un tribunal de première instance qui a clos la procédure (art. 398 al. 1 CPP), les appels du Ministère public et de W.________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3.1</w:t>
      </w:r>
    </w:p>
    <w:p>
      <w:r>
        <w:t>Le prévenu conteste tout d’abord que la version du plaignant puisse être retenue. Il soutient en substance que ce dernier aurait donné des versions contradictoires et peu cohérentes, modifiant son récit et minimisant son implication personnelle. A contrario , il fait valoir que sa version des faits, constante, aurait dû prévaloir, à tout le moins au bénéfice du doute. Il invoque ainsi une violation de la présomption d’innocence.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CR-CPP, n. 34 ad art. 10 CPP et les références citées).</w:t>
      </w:r>
    </w:p>
    <w:p>
      <w:r>
        <w:rPr>
          <w:b/>
        </w:rPr>
        <w:t>E. 3.3</w:t>
      </w:r>
    </w:p>
    <w:p>
      <w:r>
        <w:t>En l’espèce, si la version du plaignant contient quelques contradictions mineures, qui peuvent aisément s’expliquer par la difficulté à se remémorer certains détails périphériques lorsqu’on est victime d’une agression au couteau, elle est bien plus convaincante que celle servie par le prévenu, soit qu’il tenait un couteau à la main pour couper des oignons et qu’il aurait blessé accidentellement le plaignant en cherchant à le repousser. A ce titre, par deux fois aux débats de première instance et encore une fois lors de l’audience d’appel, W.________ a montré la manière dont il avait, selon lui, repoussé A.O.________ des deux mains, ne changeant pas de version même après que les deux autorités pénales lui ont fait remarquer que cela n’était pas compatible avec la blessure infligée. En effet, la version de l’appelant est incompatible avec les constats des légistes qui confirment que le couteau a été planté avec violence, coup qui a transpercé plusieurs couches de vêtements et qui a provoqué plusieurs lésions aux organes internes, soit un hémo-pneumothorax, un saignement diffus du rein gauche, une lésion du diaphragme à gauche et une lésion transfixiante de l’estomac, toutes ces lésions ayant mis en danger la vie de la victime. Du reste, et quoi qu’il prétende, le prévenu n’était nullement en train de couper des oignons et les constats des premiers juges à cet égard sont tout à fait convaincants et établis. Le fait qu’une planche à découper se trouvait sur un petit meuble et qu’un sac contenant des légumes était posé à côté de la cheminée n’y change rien. Enfin, son affirmation selon laquelle il n’était pas conscient d’être porteur d’un couteau au moment où il aurait prétendument repoussé le plaignant est totalement invraisemblable, s’agissant d’un couteau de 30 cm de long avec une lame de 16,5 cm. Il est donc évident que le prévenu ment et tente de faire passer le plaignant pour son agresseur, alors que c’est le contraire qui doit être retenu. Les premiers juges ont ainsi retenu la version du plaignant sans violation de la présomption d’innocence.</w:t>
      </w:r>
    </w:p>
    <w:p>
      <w:r>
        <w:rPr>
          <w:b/>
        </w:rPr>
        <w:t>E. 4.1</w:t>
      </w:r>
    </w:p>
    <w:p>
      <w:r>
        <w:t>Le prévenu soutient ensuite qu’il devrait être condamné pour lésions corporelles graves par négligence, dès lors qu’il ne se serait pas muni du couteau dans l’intention d’attaquer, de menacer ou de blesser A.O.________, mais pour cuisiner. Il relève d’ailleurs qu’en ouvrant la porte de sa chambre, toujours muni d’un couteau, il ne pouvait pas envisager que le plaignant s’en prendrait physiquement à lui, et ceci à deux reprises. Il indique qu’il n’a jamais nié avoir eu recours à la force pour repousser à plusieurs reprises A.O.________, mais a constamment expliqué qu’il n’a pas porté de coup de couteau de manière intentionnelle. II ajoute qu’il s’est également rendu à la police, a collaboré afin de retrouver le couteau et a exprimé ses regrets sincères à diverses reprises, notamment par le biais d’une lettre manuscrite, éléments démontrant selon lui le fait qu’il n’a jamais eu l’intention de blesser le plaignant, et encore moins de le poignarder. Quant au Ministère public, il soutient que la tentative de meurtre aurait dû être retenue dans le cas d’espèce, dès lors qu’il aurait dû être constaté que le geste consistant à planter un couteau muni d’une lame de 16,5 cm dans plusieurs couches de vêtements, puis dans le haut du corps de sa victime, était parfaitement compatible avec les menaces de mort proférées juste avant, menaces que les premiers juges avaient d’ailleurs tenu – à juste titre – pour vraies. Du reste et indépendamment des menaces proférées au préalable, le Ministère public relève qu’il est patent qu’au vu de la violence du geste et de la zone du corps humain qui a été prise pour cible, W.________ s’est à tout le moins accommodé du scénario consistant à donner la mort.</w:t>
      </w:r>
    </w:p>
    <w:p>
      <w:r>
        <w:rPr>
          <w:b/>
        </w:rPr>
        <w:t>E. 4.2.1.1</w:t>
      </w:r>
    </w:p>
    <w:p>
      <w:r>
        <w:t>Aux termes de l’art. 111 CP, se rend coupable de meurtre quiconque tue une personne intentionnellement.</w:t>
      </w:r>
    </w:p>
    <w:p>
      <w:r>
        <w:rPr>
          <w:b/>
        </w:rPr>
        <w:t>E. 4.2.1.2</w:t>
      </w:r>
    </w:p>
    <w:p>
      <w:r>
        <w:t>Selon l’art. 12 al. 2 CP,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(ATF 147 IV 439 consid. 7.3.1 ; ATF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147 IV 439 précité consid. 7.3.1 ; ATF 133 IV 222 consid. 5.3 ; TF 6B_465/2024 précité consid. 2.1.2).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précité consid. 7.3.1 ; ATF 137 IV 1 précité consid. 4.2.3 ; ATF 133 IV 9 consid. 4.1 ; TF 6B_465/2024 précité consid. 2.1.1). Selon la jurisprudence, personne ne peut ignorer la probabilité d’une issue fatale en cas de coups de couteau portés au torse ou à l’abdomen d’une victime (TF 6B_951/2023 du 29 janvier 2024 consid. 1.2.2 ; TF 6B_1093/2023 du 8 novembre 2023 consid. 2.1.1 ; TF 6B_269/2023 du 30 juin 2023 consid. 1.1.2 en référence à l’ATF 109 IV 5 consid. 2). Dans ce cas de figure, on peut généralement conclure que l’auteur s’est accommodé de la mort de la victime (TF 6B_951/2023 précité consid. 1.2.2 ; TF 6B_269/2023 précité consid. 1.1.2 ; TF 6B_774/2020 du 28 juillet 2021 consid. 2.5 et les nombreux arrêts cités). Le Tribunal fédéral a également retenu que même un seul coup de couteau porté contre le torse de la victime peut être considéré comme un homicide volontaire (TF 6B_775/2011 du 4 juin 2012 consid. 2.4.2 ; voir également TF 6B_829/2010 du 28 février 2011 consid. 3.2, l’arme du crime était un couteau d’une longueur de lame de 11 cm ; TF 6B_572/2011 du 20 décembre 2011 consid. 2.6, coup de couteau ciblé dans le haut du corps avec un couteau de 27 cm, et 6B_635/2009 du 19 novembre 2009 consid. 3.3, coup de couteau dans la région du rein avec un couteau d’une longueur de lame de 15,5 cm).</w:t>
      </w:r>
    </w:p>
    <w:p>
      <w:r>
        <w:rPr>
          <w:b/>
        </w:rPr>
        <w:t>E. 4.2.1.3</w:t>
      </w:r>
    </w:p>
    <w:p>
      <w:r>
        <w:t>Il y a tentative lorsque l’auteur a réalisé tous les éléments subjectifs de l’infraction et manifesté sa décision de la commettre, alors que les éléments objectifs font, en tout ou en partie, défaut (art. 22 al. 1 CP ; ATF 140 IV 150 consid. 3.4 ; ATF 137 IV 133 consid. 1.4.2 ; ATF 131 IV 100 consid. 7.2.1). La tentative suppose toujours un comportement intentionnel, le dol éventuel étant toutefois suffisant (ATF 122 IV 246 consid. 3a ; ATF 120 IV 17 consid. 2c ; TF 6B_465/2024 précité consid. 2.1.1 et les références citées).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(TF 6B_465/2024 précité et les références citées). L’auteur ne peut ainsi valablement contester la réalisation d’une tentative de meurtre au motif que le coup qu’il a donné à la victime n’aurait causé que des lésions corporelles simples et que la vie de celle-ci n’aurait pas été mise en danger (TF 6B_465/2024 précité et les références citées).</w:t>
      </w:r>
    </w:p>
    <w:p>
      <w:r>
        <w:rPr>
          <w:b/>
        </w:rPr>
        <w:t>E. 4.2.2</w:t>
      </w:r>
    </w:p>
    <w:p>
      <w:r>
        <w:t>Aux termes de l’art. 122 CP, st puni d’une peine privative de liberté d’un à dix ans quiconque, intentionnellement, blesse une personne de façon à mettre sa vie en danger (let. a), mutile le corps d’une personne, un de ses membres ou un de ses organes importants ou rend ce membre ou cet organe impropre à sa fonction, cause à une personne une incapacité de travail, une infirmité ou une maladie mentale permanentes, ou défigure une personne d’une façon grave et permanente (let. b) ou fait subir à une personne toute autre atteinte grave à l’intégrité corporelle ou à la santé physique ou mentale (let. c).</w:t>
      </w:r>
    </w:p>
    <w:p>
      <w:r>
        <w:rPr>
          <w:b/>
        </w:rPr>
        <w:t>E. 4.3.1</w:t>
      </w:r>
    </w:p>
    <w:p>
      <w:r>
        <w:t>La qualification de lésions corporelles graves par négligence soutenue par la défense repose sur un état de fait qui n’est pas retenu en l’espèce, de sorte qu’il n’est pas nécessaire de l’examiner.</w:t>
      </w:r>
    </w:p>
    <w:p>
      <w:r>
        <w:rPr>
          <w:b/>
        </w:rPr>
        <w:t>E. 4.3.2</w:t>
      </w:r>
    </w:p>
    <w:p>
      <w:r>
        <w:t>Les premiers juges ont exclu l’intention homicide du prévenu au motif que, même si W.________ avait menacé la victime de la tuer, ce qu’ils ont considéré comme établi, on ne pouvait pas admettre que cette menace de mort suffise à elle seule à établir cette intention, d’autant que, selon la victime, le prévenu aurait déclaré après avoir frappé au moyen du couteau « putain qu’est-ce que j’ai fait, t’es chiant, t’es con ». En outre, les premiers juges ont relevé qu’après avoir quitté les lieux et pris la fuite sur sa trottinette, W.________ a eu des contacts avec le frère aîné d’A.O.________ et il ressortait de ces échanges que l’appelant s’était inquiété auprès de lui pour savoir si le plaignant avait pu indiquer qui lui avait fait ça, tout en émettant l’espoir que ce ne soit pas trop grave. Le Ministère public conteste toutefois cette appréciation et fait valoir que les menaces de mort ont été suivies immédiatement d’un geste violent consistant à planter une lame de 16,5 cm dans une zone du corps humain où siègent de nombreux organes vitaux et que ce comportement, pris dans son ensemble, atteste d’une intention homicide. En l’espèce, l’appréciation des premiers juges ne peut pas être suivie. En effet, dans leur analyse, ils omettent de prendre en considération la violence du coup de couteau porté au thorax de la victime, élément qui, de jurisprudence constante, doit être pris en compte comme circonstance externe attestant de l’importance du risque assumé par l’auteur. Or, le coup porté par le prévenu a été si violent qu’il a mis gravement en danger la vie de la victime qui serait décédée s’il n’y avait pas eu une prise en charge médicale (P. 43), plusieurs organes ayant été atteints. Ainsi, contrairement à ce qu’ont considéré les premiers juges, les menaces de mort doivent être mises en relation avec la violence du coup de couteau donné juste après, pour aboutir à la conclusion qu’une intention homicide est bien établie. Au demeurant, on ne voit pas que les propos tenus par le prévenu juste après les faits permettraient de relativiser cette intention. La première partie de la phrase (« putain qu’est-ce que j’ai fait ») est l’expression de la conscience de la gravité du comportement fautif, alors que la seconde (« t’es chiant, t’es con ») traduit le mépris pour la victime, désignée comme responsable, et confirme ainsi l’absence totale de considération pour son intégrité physique. Partant, le prévenu doit donc être condamné pour tentative de meurtre.</w:t>
      </w:r>
    </w:p>
    <w:p>
      <w:r>
        <w:rPr>
          <w:b/>
        </w:rPr>
        <w:t>E. 5.1</w:t>
      </w:r>
    </w:p>
    <w:p>
      <w:r>
        <w:t>Le Ministère public soutient que, dans la mesure où la tentative de meurtre doit être retenue, une peine privative de liberté d’ensemble de 8 ans doit être infligée à l’appelant, compte tenu de sa culpabilité, qui doit être considérée comme extrêmement lourde. En effet, il relève l’extrême futilité du mobile, puisque le coup de couteau dont il est question est intervenu alors qu’A.O.________ avait demandé à W.________ de le traiter avec un minimum de respect et de ne pas jeter ses affaires dans la cage d’escaliers. De plus, il fait valoir que l’appelant a constamment cherché à minimiser sa responsabilité, maintenant la thèse de l’accident, et mentant à plusieurs reprises. Son défaut de collaboration, l’absence totale d’introspection, ainsi que ses antécédents judiciaires doivent également être pris en compte.</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et les références citées).</w:t>
      </w:r>
    </w:p>
    <w:p>
      <w:r>
        <w:rPr>
          <w:b/>
        </w:rPr>
        <w:t>E. 5.2.2</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w:t>
      </w:r>
    </w:p>
    <w:p>
      <w:r>
        <w:rPr>
          <w:b/>
        </w:rPr>
        <w:t>E. 5.2.3</w:t>
      </w:r>
    </w:p>
    <w:p>
      <w:r>
        <w:t>Si la peine révoquée et la nouvelle peine sont du même genre, le juge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(ATF 145 IV 146 consid. 2.4 ; TF 6B_444/2023 précité ; TF 6B_386/2022 du 20 décembre 2022 consid. 5.1).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précité).</w:t>
      </w:r>
    </w:p>
    <w:p>
      <w:r>
        <w:rPr>
          <w:b/>
        </w:rPr>
        <w:t>E. 5.3</w:t>
      </w:r>
    </w:p>
    <w:p>
      <w:r>
        <w:t>En l’espèce, à l’instar des premiers juges, il faut considérer que la culpabilité du prévenu est extrêmement lourde. En effet, W.________ a agi dans un contexte qu’il a lui-même provoqué et pour un motif futile, alors que le plaignant lui avait demandé de le traiter avec un minimum de respect. A cela s’ajoute que le prévenu ne s’est nullement inquiété de l’état de santé du plaignant, préférant prendre la fuite en France afin d’échapper aux conséquences de ses actes, alors qu’il venait d’asséner un coup de couteau à A.O.________ et que ce dernier perdait énormément de sang. Même s’il est pris acte de la reconnaissance de dette passée à l’audience de première instance et de certains regrets exprimés, il faut constater que, tout au long de la procédure, W.________ a cherché à minimiser sa responsabilité, en se victimisant et en faisant passer le plaignant pour son agresseur. L’appelant n’a manifestement pris aucune réelle conscience de la gravité de ses actes. Enfin, la culpabilité de W.________ paraît d’autant plus lourde en raison des nombreux antécédents qui permettent de constater, d’une part, que les nombreuses interventions de la justice n’ont servi à rien et, d’autre part, que le prévenu est ancré dans une délinquance polymorphe qui aboutit, avec la présente cause, à la commission d’une des infractions les plus graves de tout ordre juridique. Au vu de ces éléments et pour des motifs de prévention spéciale, c’est donc une peine privative de liberté qui doit sanctionner le comportement de l’appelant. Dans la mesure où les faits très graves du 1 er mars 2024 ont été commis durant le délai d’épreuve de 4 ans accordé par ordonnance pénale du 22 avril 2021, ce sursis doit être révoqué, aucun pronostic favorable ne pouvant être envisagé. C’est donc une peine privative de liberté d’ensemble qui doit être prononcée, comprenant les 130 jours infligés par le Ministère public du canton de Fribourg dans sa décision du 22 avril 2021 et la tentative de meurtre étant sanctionnée d’une peine privative de liberté de 94 mois. A ce titre, la peine proposée par le Ministère public est adéquate. Ainsi, au vu de la culpabilité extrêmement lourde retenue contre W.________, de la gravité de l’atteinte subie par A.O.________ qui a failli mourir et est encore profondément affecté, c’est une peine privative de liberté de 8 ans qui doit être prononcée.</w:t>
      </w:r>
    </w:p>
    <w:p>
      <w:r>
        <w:rPr>
          <w:b/>
        </w:rPr>
        <w:t>E. 6.1</w:t>
      </w:r>
    </w:p>
    <w:p>
      <w:r>
        <w:t>W.________ ne conteste son expulsion que dans l’hypothèse où l’infraction retenue ne consacrerait pas un cas d’expulsion obligatoire, hypothèse qui n’est pas réalisée en l’espèce. Il convient toutefois d’examiner son expulsion d’office.</w:t>
      </w:r>
    </w:p>
    <w:p>
      <w:r>
        <w:rPr>
          <w:b/>
        </w:rPr>
        <w:t>E. 6.2</w:t>
      </w:r>
    </w:p>
    <w:p>
      <w:r>
        <w:t>Selon l’art. 66a al. 1 let. a CP, le juge expulse de Suisse pour une durée de cinq à quinze ans l’étranger qui est condamné, notamment, pour meurtre (art. 111 CP). Cette disposition s’applique également en cas de tentative (cf. ATF 146 IV 105 consid. 3.4.1 ; ATF 144 IV 168 consid. 1.4.1).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Selon l’art. 66a al. 2 CP, le juge peut exceptionnellement renoncer à une expulsion lorsque celle-ci mettrait l’étranger dans une situation personnelle grave et que les intérêts publics à l’expulsion ne l’emportent pas sur l’intérêt privé de l’étranger à demeurer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 er mai 2020 consid. 3.2.1 ; TF 6B_1329/2018 du 14 février 2019 consid. 2.2 ; TF 6B_1262/2018 du 29 janvier 2019 consid. 2.2). La clause de rigueur permet de garantir le principe de la proportionnalité (cf. art. 5 al. 2 Cst.). Elle doit être appliquée de manière restrictive (ATF 146 IV 105 précité consid. 3.4.2 ; ATF 144 IV 332 précité consid. 3.3.1 ; TF 6B_40/2021 et 6B_111/2021 du 29 septembre 2021 consid. 4.2). Selon la jurisprudence du Tribunal fédéral (ATF 146 IV 105 précité consid. 3 ; ATF 144 IV 332 précité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précité ; TF 6B_40/2021 et 6B_111/2021 précités ; TF 6B_708/2020 du 11 mars 2021 consid. 5.1). L’examen de la clause de rigueur doit être effectué dans chaque cas sur la base des critères d’intégration habituels (ATF 144 IV 332 précité ; TF 6B_40/2021 et 6B_111/2021 précités).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6B_40/2021 et 6B_111/2021 précités).</w:t>
      </w:r>
    </w:p>
    <w:p>
      <w:r>
        <w:rPr>
          <w:b/>
        </w:rPr>
        <w:t>E. 6.3</w:t>
      </w:r>
    </w:p>
    <w:p>
      <w:r>
        <w:t>En l’espèce, la tentative de meurtre constitue un cas d’expulsion obligatoire selon l’art. 66a al. 1 let. a CP. Par ailleurs, l’intérêt public à l’expulsion de W.________ est très important, dès lors qu’il met en danger, et de manière répétée, l’ordre public. En outre, ses attaches avec la Suisse sont bien trop inconsistantes pour considérer qu’il pourrait remplir les conditions d’un cas de rigueur, de sorte que son expulsion du territoire suisse pour une durée de 10 ans doit être confirmée.</w:t>
      </w:r>
    </w:p>
    <w:p>
      <w:r>
        <w:rPr>
          <w:b/>
        </w:rPr>
        <w:t>E. 7</w:t>
      </w:r>
    </w:p>
    <w:p>
      <w:r>
        <w:t>La détention subie par W.________ depuis le jugement de première instance sera déduite (art. 51 CP). Pour garantir l’exécution de sa peine et de l’expulsion et compte tenu du risque de fuite qu’il présente, il convient en outre d’ordonner le maintien de W.________ en exécution anticipée de peine.</w:t>
      </w:r>
    </w:p>
    <w:p>
      <w:r>
        <w:rPr>
          <w:b/>
        </w:rPr>
        <w:t>E. 8</w:t>
      </w:r>
    </w:p>
    <w:p>
      <w:r>
        <w:t>Au vu de ce qui précède, l’appel de W.________ doit être rejeté et l’appel du Ministère public admis. Le jugement attaqué sera donc modifié, dans le sens des considérants qui précèdent. Me Raphaël Brochellaz a produit une liste d’opérations faisant état de 7h30 d’activité d’avocate-stagiaire pour la rédaction de la déclaration d’appel et 13h30 d’activité d’avocat. Le temps annoncé est toutefois quelque peu excessif. S’agissant de la rédaction de la déclaration d’appel, il convient d’indemniser 6h30 au tarif de l’avocat-stagiaire. Quant aux opérations enregistrées par l’avocat concernant le temps de préparation de l’audience et des notes de plaidoiries, comptabilisées à 5h15, elles seront réduites à 3h d’activité, compte tenu de la connaissance du dossier acquise en première instance. Enfin, le temps d’audience estimé à 2h sera réduit à 1h30. Finalement, c’est une durée de 10h45 qui sera indemnisée au tarif horaire de l’avocat, soit 1’935 fr., et de 6h30 au tarif horaire de l’avocat-stagiaire, soit 715 fr. (art. 2 al. 1 let. a et b RAJ [règlement sur l’assistance judiciaire en matière civile du 7 décembre 2010 ; BLV 211.02.3] par renvoi de l’art. 26b TFIP [tarif des frais de procédure et indemnités en matière pénale du 28 septembre 2010 ; BLV 312.03.1]). A cela s’ajoute les débours forfaitaires à concurrence de 2 % (art. 3bis al. 1 RAJ), par 53 fr., deux vacations à 120 fr., et la TVA sur le tout, par 238 fr. 40, pour un montant total de 3’181 fr. 40 qui sera alloué au défenseur d’office. Vu l’issue de la cause, les frais d’appel, constitués des émoluments de jugement et d’audience, par 3’010 fr. (18 pages de jugement et 400 fr. d’audience ; art. 21 al. 1 et 2 TFIP), et de l’indemnité allouée au défenseur d’office, par 3’181 fr. 40, soit au total 6’191 fr. 40, seront mis à la charge de W.________, qui succombe (cf. art. 428 al. 1 CPP). W.________ sera tenu de rembourser à l’Etat de Vaud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