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229 vom 5. Juni 2024</w:t>
      </w:r>
    </w:p>
    <w:p>
      <w:r>
        <w:t>VD Tribunal cantonal, 2024-06-05, FR</w:t>
      </w:r>
    </w:p>
    <w:p>
      <w:r>
        <w:rPr>
          <w:b/>
        </w:rPr>
        <w:t xml:space="preserve">Quelle: </w:t>
      </w:r>
      <w:r>
        <w:t>https://mcp.opencaselaw.ch/entscheid/vd_findinfo_Jug___2025___229</w:t>
      </w:r>
    </w:p>
    <w:p>
      <w:r>
        <w:t>FR: VD_FINDINFO Jug / 2025 / 229 du 5 juin 2024</w:t>
      </w:r>
    </w:p>
    <w:p>
      <w:r>
        <w:t>IT: VD_FINDINFO Jug / 2025 / 229 del 5 giugno 2024</w:t>
      </w:r>
    </w:p>
    <w:p>
      <w:pPr>
        <w:pStyle w:val="Heading2"/>
      </w:pPr>
      <w:r>
        <w:t>Regeste</w:t>
      </w:r>
    </w:p>
    <w:p>
      <w:r>
        <w:t>HOMICIDE PAR NÉGLIGENCE, ACCIDENT DE LA CIRCULATION, AUTOMOBILE, PIÉTON, EXPERTISE, DILIGENCE, FAUTE DU TIERS, FAUTE PROPRE, PEINE PÉCUNIAIRE, REJET DE LA DEMANDE, SURSIS À L'EXÉCUTION DE LA PEINE, FAUTE LÉGÈRE | 117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L’appelant conteste sa condamnation pour homicide par négligence. Il fait valoir que le premier juge n’aurait pas établi les faits correctement et invoque une violation de la présomption d’innocence. Il se prévaut des témoignages de J.________ et de B.________ pour soutenir que le piéton « stagnait près de la ligne blanche de démarcation ». Il soutient encore que sa description des faits ne serait pas fondamentalement incompatible avec l’expertise du CURML, qui se serait faussement appuyé sur les témoignages fournis. Enfin, l’appelant relève qu’il aurait bien été ébloui par les phares du véhicule venant en sens inverse.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3.2.1</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3.2.2</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2e éd., Bâle 2019, n. 8 ad art. 189 CPP ; CREP 28 février 2018/162 ; voir également : TF 6B_980/2020 du 23 novembre 2020 consid. 3.1). L'expertise devra notamment être complétée, respectivement actualisée, si les circonstances ont changé depuis sa rédaction et qu'il y a lieu de penser que le résultat de l'expertise serait différent si elle était rédigée aujourd'hui (Vuille, in : Jeanneret/Kuhn/Perrier Depeursinge, op. cit., n. 8a ad art. 189 CPP). Une expertise est peu claire (cf. art. 189 let. a CPP)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in : Jeanneret/Kuhn/Perrier Depeursinge, op. cit., n. 12 ad art. 189 CPP ; CREP 28 février 2018/162). Il y a notamment doute sur l'exactitude de l'expertise (cf. art. 189 let. c CPP) lorsque la compétence de l'expert est remise en question de façon convaincante ou qu'il apparaît qu'il ne disposait pas des outils nécessaires pour réaliser l'expertise, mais également lorsqu'il adopte, lors de sa déposition orale, une position différente de celle qu'il soutenait dans son rapport (Vuille, in : Jeanneret/Kuhn/Perrier Depeursinge, op. cit., n. 17 ad art. 189 CPP).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141 IV 369 consid. 6.1). La nécessité d'une nouvelle expertise dépend ainsi d'une appréciation de celle versée au dossier et des autres éléments de preuves (TF 6B_1365/2016 du 23 janvier 2017 et les références citées).</w:t>
      </w:r>
    </w:p>
    <w:p>
      <w:r>
        <w:rPr>
          <w:b/>
        </w:rPr>
        <w:t>E. 3.3</w:t>
      </w:r>
    </w:p>
    <w:p>
      <w:r>
        <w:t>Le premier juge a considéré que le prévenu n’avait pas fait état, lors de sa première audition, de son éblouissement peu avant l’accident par les phares d’un véhicule venant en sens inverse et a retenu, en définitive, que le piéton avait été visible durant plusieurs secondes par le prévenu, mais que celui-ci avait porté son attention sur la signalisation lumineuse du carrefour [...] – [...] – [...] – [...] qui était au vert, de sorte qu’il était inattentif à la portion de la chaussée devant lui et qu’il aurait pu éviter le piéton à la vitesse à laquelle il circulait. Cette appréciation doit être confirmée. D’abord, il est exact que le prévenu n’a pas évoqué d’éblouissement lorsqu’il a été entendu pour la première fois au sujet de l’accident (PV aud. 2). Il ne peut d’ailleurs rien tirer à cet égard des témoignages de L.________, J.________ et B.________ (PV aud. 1, 3 et 4). Quant à l’expert mis en œuvre pour se prononcer sur la dynamique de l’accident, il a considéré à la faveur d’une inspection locale qu’il était très peu probable que les phares du véhicule de L.________ aient pu gêner de manière suffisamment importante et surtout durant un laps de temps suffisamment long l’appelant pour que le piéton ne soit pas visible, ce d’autant que le piéton venait de la droite, selon le sens de marche du véhicule conduit par K.________ et qu’il devait être visible depuis un certain temps avant même l’arrivée de l’Opel en haut de l’Avenue [...] (P. 72, pp. 25-26). C’est donc à bon droit, et sans violation de la présomption d’innocence, que le premier juge a écarté la thèse de l’éblouissement soutenue par l’appelant, celle-ci résultant plutôt d’une reconstruction de la mémoire. C’est également en vain que l’appelant fait valoir que la victime stagnait aux abords de la ligne blanche de démarcation puisqu’il découle des simulations informatiques du DTC que, pour atteindre sa position finale, le piéton devrait avoir été heurté à proximité de la fin de la seconde flèche peinte sur la présélection de gauche de l’Avenue [...] (P. 72, p. 72, p. 14) et qu’il était visible de manière équivalente, qu’il se situe à un mètre en retrait ou un mètre au-delà de la zone de collision, soit au niveau de la ligne de sécurité séparant les flux de trafic ( ibid. , p. 28). Le fait que le piéton ait pu brièvement interrompre sa progression ou qu’il ait fait d’éventuels va-et-vient durant son parcours ne changent rien au fait qu’il avait dû passer au minimum 8,4 secondes sur la chaussée et que selon les constatations de l’inspection locale, c’était à partir de 40 mètres de la zone de collision, que le piéton était réellement visible à l’œil nu ( ibid. , p. 19). Pour le surplus, les témoignages de J.________ et de B.________ ne l’exonèrent nullement de sa responsabilité, au contraire, puisque ces derniers ont aperçu le piéton traverser la chaussée alors qu’ils cheminaient sur le trottoir sud de l’Avenue [...] à une distance de l’ordre de 75 mètres du lieu de l’accident (PV aud. 3, R 7 et PV aud. 4, R 6). En outre, et contrairement à ce que soutient l’appelant, les experts du CURML n’ont pas écarté l’hypothèse de la progression du piéton de gauche à droite en se référant aux témoignages, mais bien en examinant les caractéristiques des lésions subies par la victime (P. 51), ce qui est de leur compétence, contrairement à l’appréciation des témoignages. Enfin, l’expert du DTC a également écarté de manière motivée la thèse d’un volte-face du piéton (P. 72, p. 27-28). L’appelant ne parvient donc pas à démontrer que le premier juge aurait retenu des faits erronés en violation de la présomption d’innocence. Partant, le premier moyen doit être rejeté.</w:t>
      </w:r>
    </w:p>
    <w:p>
      <w:r>
        <w:rPr>
          <w:b/>
        </w:rPr>
        <w:t>E. 4.1</w:t>
      </w:r>
    </w:p>
    <w:p>
      <w:r>
        <w:t>L’appelant invoque ensuite une mauvaise application de l’art. 117 CP. Il fait valoir que toutes les causes d’une inattention de sa part pourraient être écartées en l’espèce et qu’on ne saurait lui reprocher d’avoir porté son attention sur le carrefour en amont, où il aurait pu s’attendre à voir traverser des piétons. Il se prévaut en outre des circonstances exceptionnelles de l’accident, concernant les mauvaises conditions de visibilité et la trajectoire imprévisible du piéton.</w:t>
      </w:r>
    </w:p>
    <w:p>
      <w:r>
        <w:rPr>
          <w:b/>
        </w:rPr>
        <w:t>E. 4.2.1</w:t>
      </w:r>
    </w:p>
    <w:p>
      <w:r>
        <w:t>L’art. 117 CP, qui réprime l’homicide par négligence, suppose la réunion de trois conditions : le décès d’une personne, une négligence et un lien de causalité entre la négligence et la mort (ATF 122 IV 145 consid. 3). La négligence est définie à l’art. 12 al. 3 CP, selon lequel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Pour qu’il y ait homicide par négligence, il faut tout d’abord que l’auteur ait violé les règles de prudence que les circonstances lui imposaient pour ne pas excéder les limites du risque admissible (ATF 122 IV 145 consid. 3b/aa).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(ATF 126 IV 91 consid. 4a/aa ; ATF 122 IV 133 consid. 2a).</w:t>
      </w:r>
    </w:p>
    <w:p>
      <w:r>
        <w:rPr>
          <w:b/>
        </w:rPr>
        <w:t>E. 4.2.2</w:t>
      </w:r>
    </w:p>
    <w:p>
      <w:r>
        <w:t>L’art. 26 LCR (loi fédérale sur la circulation routière du 19 décembre 1958 ; RS 741.01)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L'art. 3 al. 1 OCR (ordonnance sur les règles de la circulation routière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 TF 6B_665/2015 du 15 septembre 2016 consid. 2.2).  Lorsqu'un conducteur doit prêter son attention visuelle principalement dans une direction déterminée, on peut admettre que son attention soit moindre dans les autres (ATF 122 IV 225 consid. 2b ; TF 6B_1157/2016 du 28 mars 2017 consid. 4.3).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 TF 6B_1157/2016 du 28 mars 2017 consid. 4.3).</w:t>
      </w:r>
    </w:p>
    <w:p>
      <w:r>
        <w:rPr>
          <w:b/>
        </w:rPr>
        <w:t>E. 4.2.3</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4.3</w:t>
      </w:r>
    </w:p>
    <w:p>
      <w:r>
        <w:t>En l’espèce, l’expertise a établi que, dans l’hypothèse la plus favorable à l’appelant, un véhicule roulant à une vitesse de 50 km/h disposait d’une distance de 40 mètres pour s’arrêter, ce qui correspondait à la distance à partir de laquelle le piéton devenait facilement décelable. Si l’appelant roulait à une vitesse inférieure, comme estimé au moment de la réaction, soit entre 35 km/h et 41 km/h, le piéton était d’autant plus visible et l’intéressé disposait d’une distance pour s’arrêter comprise entre 16.6 et 20.6 mètres (P. 72, pp. 3 et 29). Enfin, il a été démontré que l’intéressé n’avait pas été ébloui par des phares de véhicules venant en sens inverse. Compte tenu de ce qui précède, l’appelant était donc en mesure d’apercevoir et de freiner avant d’heurter B.G.________, et donc d’éviter l’accident, s’il avait fait preuve de l’attention requise par les circonstances. Certes, la victime cheminait de nuit en dehors d’un passage protégé alors qu’elle était vêtue d’un pull gris clair. Toutefois, un tel comportement, s’il est également fautif, n’en est toutefois pas inhabituel au point d’être imprévisible et aberrant. Il n’est en effet pas exceptionnel que des piétons utilisent librement la chaussée pour traverser la route en zone urbaine, le fait que les établissements publics aient été fermés pendant la pandémie liée au Covid-19 n’y change rien. L’argumentation de l’appelant s’agissant du comportement de la victime juste avant l’accident est également vaine. En effet, sa thèse selon laquelle « la stagnation » de la victime aux abords de la ligne de démarcation aurait eu une incidence sur sa visibilité est contredite par l’expertise (cf. supra consid. 3.3). Il n’est pas non plus extraordinaire qu’un piéton qui traverse une chaussée en dehors des clous puisse accomplir un pas en arrière. Dans ces conditions, le comportement adopté par B.G.________ ne constituait pas un événement imprévisible au point que le défaut d’attention de l’appelant doit être relégué à l’arrière-plan. En définitive, l’inattention de l’appelant est bien fautive et c’est en vain qu’il plaide l’absence de cause vraisemblable à cette inattention. Avec le premier juge, il faut admettre que K.________ a porté son attention plus loin, en direction de la signalisation lumineuse au vert (PV aud. 2, p. 2) et qu’en maintenant son attention dans cette direction pour s’assurer qu’il pourrait franchir la signalisation lumineuse sans s’arrêter, il a perdu de vue les obstacles devant son véhicule. La durée du défaut d’attention permet de considérer que le prévenu aurait pu éviter le choc en usant de toutes les précautions commandées par les circonstances, même s’il faut admettre, avec le premier juge également, que sa faute est légère. Partant, la condamnation de l’appelant pour homicide par négligence, doit être confirmée.</w:t>
      </w:r>
    </w:p>
    <w:p>
      <w:r>
        <w:rPr>
          <w:b/>
        </w:rPr>
        <w:t>E. 5.1</w:t>
      </w:r>
    </w:p>
    <w:p>
      <w:r>
        <w:t>L’appelant fait ensuite valoir que les conclusions civiles, allouées à la partie civile auraient dû être réduites en application de l’art. 44 CO, pour tenir compte de la faute concomitante de la victime.</w:t>
      </w:r>
    </w:p>
    <w:p>
      <w:r>
        <w:rPr>
          <w:b/>
        </w:rPr>
        <w:t>E. 5.2</w:t>
      </w:r>
    </w:p>
    <w:p>
      <w:r>
        <w:t>Aux termes de l’art. 44 al. 1 CO (loi fédérale complétant le Code civile suisse, Livre cinquième : Droit des obligations du 30 mars 1911 ; RS 220),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w:t>
      </w:r>
    </w:p>
    <w:p>
      <w:r>
        <w:rPr>
          <w:b/>
        </w:rPr>
        <w:t>E. 5.3</w:t>
      </w:r>
    </w:p>
    <w:p>
      <w:r>
        <w:t>En l’espèce, B.G.________ a adopté un comportement dangereux en traversant une artère fréquentée, de nuit, en dehors d’un passage piéton. Il s’ensuit qu’une faute concomitante doit lui être imputée. Il s’agit toutefois d’une faute légère, de la même importance que celle du prévenu, le premier juge ayant qualifié à juste titre l’inattention du prévenu de faute légère. Au vu de l’importance des fautes respectives, il convient de réduire de moitié les prétentions civiles allouées à C.G.________. C’est ainsi 3'034 fr. 60, avec intérêt à 5% l’an dès le 1 er janvier 2023 qui lui seront alloués au titre de dommages et intérêts pour le préjudice matériel subi et 15'000 fr., avec intérêt à 5% l’an dès le 10 février 2021, qui lui seront alloués au titre dommages et intérêts pour le tort moral subi.</w:t>
      </w:r>
    </w:p>
    <w:p>
      <w:r>
        <w:rPr>
          <w:b/>
        </w:rPr>
        <w:t>E. 6</w:t>
      </w:r>
    </w:p>
    <w:p>
      <w:r>
        <w:t>La sanction n’est pas critiquée en tant que telle, mais doit être revue d’office. Le premier juge a prononcé une peine pécuniaire de 15 jours-amende à 30 fr. le jour, avec sursis pendant deux ans.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w:t>
      </w:r>
    </w:p>
    <w:p>
      <w:r>
        <w:rPr>
          <w:b/>
        </w:rPr>
        <w:t>E. 6.1.2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6.2</w:t>
      </w:r>
    </w:p>
    <w:p>
      <w:r>
        <w:t>En l’espèce, K.________ s’est rendu coupable d’homicide par négligence, infraction passible d’une peine privative de liberté de trois ans au plus ou d’une peine pécuniaire. Comme on l’a vu, la faute de l’appelant est légère. La peine pécuniaire de 15 jours-amende à 30 fr. le jour, avec sursis pendant deux ans, prononcée par le premier juge a donc été fixée en application des critères légaux rappelés ci-dessus et conformément à la culpabilité et la situation personnelle de K.________. Elle doit dès lors être confirmée pour les motifs exposés dans le jugement attaqué (cf. jgmt, p. 23).</w:t>
      </w:r>
    </w:p>
    <w:p>
      <w:r>
        <w:rPr>
          <w:b/>
        </w:rPr>
        <w:t>E. 7</w:t>
      </w:r>
    </w:p>
    <w:p>
      <w:r>
        <w:t>En définitive, l’appel doit être partiellement admis et le jugement querellé modifié au chiffre III de son dispositif. Compte tenu de la confirmation de la condamnation de l’appelant, il n’y a pas lieu de revenir sur répartition des frais de justice de première instance. L’appelant ne peut pas non plus prétendre à l’allocation d’une indemnité au sens de l’art. 429 CPP. Me Isabelle Jaques, conseil d’office d’A.G.________ et C.G.________ a produit une liste des opérations faisant état de 5h36 d’activité. Cette durée est adéquate, sous réserve d’une durée de 12 minutes, relative à quatre avis de transmission de 3 minutes, qui correspondent à des tâches de secrétariat entrant dans les frais généraux de l’avocat (CAPE 20 juillet 2021/284 consid. 11.2 et les réf. citées). Il faut en revanche ajouter 1h10 pour tenir compte de la durée effective de l’audience. C’est donc une indemnité pour la procédure d’appel d’un montant de 1'433 fr., correspondant à 6h34 d’activité d’avocat breveté, plus une vacation à 120 fr., plus 23 fr. 64 de débours (2% des honoraires), plus 107 fr. 37 de TVA (8,1%), qui sera allouée à Me Isabelle Jaques. Vu l’issue de la cause, les frais de la procédure d’appel, par 4’773 fr., constitués de l’émolument de jugement et d’audience, par 3’340 fr. (art. 21 al. 1 et 2 TFIP [tarif des frais de procédure et indemnités en matière pénale du 28 septembre 2010 ; BLV 312.03.1]), ainsi que de l’indemnité allouée au conseil d’office, seront mis par deux tiers à la charge de K.________, le solde étant laissé à la charge de l’Etat (art. 428 al. 1 CPP). K.________ sera tenu de rembourser à l’Etat les deux tiers de l’indemnité du conseil d’office d’A.G.________ et C.G.________, dès que sa situation financière le permettra (art. 135 al. 4 CPP par renvoi de l’art. 138 CPP). Le dispositif du jugement communiqué aux parties après l’audience, omettant à tort de le préciser, il sera rectifié d’office par l’ajout à son dispositif d’un chiffre IVbis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