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225 vom 16. Juli 2024</w:t>
      </w:r>
    </w:p>
    <w:p>
      <w:r>
        <w:t>VD Tribunal cantonal, 2024-07-16, FR</w:t>
      </w:r>
    </w:p>
    <w:p>
      <w:r>
        <w:rPr>
          <w:b/>
        </w:rPr>
        <w:t xml:space="preserve">Quelle: </w:t>
      </w:r>
      <w:r>
        <w:t>https://mcp.opencaselaw.ch/entscheid/vd_findinfo_Jug___2025___225</w:t>
      </w:r>
    </w:p>
    <w:p>
      <w:r>
        <w:t>FR: VD_FINDINFO Jug / 2025 / 225 du 16 juillet 2024</w:t>
      </w:r>
    </w:p>
    <w:p>
      <w:r>
        <w:t>IT: VD_FINDINFO Jug / 2025 / 225 del 16 luglio 2024</w:t>
      </w:r>
    </w:p>
    <w:p>
      <w:pPr>
        <w:pStyle w:val="Heading2"/>
      </w:pPr>
      <w:r>
        <w:t>Regeste</w:t>
      </w:r>
    </w:p>
    <w:p>
      <w:r>
        <w:t>FRAIS JUDICIAIRES, AVOCAT, INDEMNITÉ{EN GÉNÉRAL}, DOL PRINCIPAL, PAIEMENT, PRIX | 211 al. 1 CO, 28 CO, 426 al. 2 CPP (CH), 430 al. 1 let. a CPP (CH)</w:t>
      </w:r>
    </w:p>
    <w:p>
      <w:pPr>
        <w:pStyle w:val="Heading2"/>
      </w:pPr>
      <w:r>
        <w:t>Erwägungen</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L’appel est traité d’office en procédure écrite, dès lors que seuls les frais et l’indemnité au sens de l’art. 429 al. 1 let. a CPP sont attaqués (art. 406 al. 1 let. d CPP).</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Cela n'exclut toutefois pas que l'autorité d'appel puisse se référer dans une certaine mesure à l'appréciation contenue dans le jugement de première instance (TF 6B_1263/2018 du 28 janvier 2019 consid. 2.1.1 ; TF 6B_868/2018 du 26 octobre 2018 consid. 1).</w:t>
      </w:r>
    </w:p>
    <w:p>
      <w:r>
        <w:rPr>
          <w:b/>
        </w:rPr>
        <w:t>E. 3.1</w:t>
      </w:r>
    </w:p>
    <w:p>
      <w:r>
        <w:t>L’appelant se plaint tout d’abord d’une constatation erronée et incomplète des faits en ce sens que les premiers juges n’auraient pas tenu compte qu’il a rencontré des difficultés financières après les commandes litigieuses, que T.________ aurait confirmé qu’il lui appartenait de transmettre l’ordre de paiement permanent de 200 fr. par mois à la BCV, ce qu’il n’avait pas fait, qu’aucune pièce n’attesterait de l’envoi des factures et des rappels, seul l’établissement des factures ayant été démontré, et qu’il aurait désactivé la carte prépaid de son téléphone portable après les commandes, dès lors que celui-ci lui aurait été dérobé au cours d’une livraison. Citant un arrêt du 22 mai 2015 de la Chambre des recours pénale (n o 174, consid. 2.2), lequel se réfère à un arrêt de la même Cour du 18 août 2014 (n o 571, consid. 3.2), l’appelant conteste ensuite qu’une violation contractuelle fondée sur l’art. 211 CO (Code des obligations du 30 mars 1911 ; RS 220) puisse justifier de lui faire supporter les frais de justice en application de l’art. 426 al. 2 CPP. Dans ces conditions, il considère qu’il n’a pas provoqué illicitement et fautivement l’ouverture de l’action pénale et que le litige avec les plaignantes serait de nature purement contractuelle.</w:t>
      </w:r>
    </w:p>
    <w:p>
      <w:r>
        <w:rPr>
          <w:b/>
        </w:rPr>
        <w:t>E. 3.2.1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 TF 6B_886/2018 du 31 octobre 2018 consid. 2.1.1).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précité ; TF 7B_46/2022 du 31 août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En outre, le juge doit fonder sa décision sur des faits incontestés ou déjà clairement établis (ATF 112 Ia 371 consid. 2a ; TF 6B_591/2022 du 4 mai 2023 consid. 3.1.2 ; TF 6B_248/2022 du 26 octobre 2022 consid. 1.1). Un comportement immoral ou contraire au principe de la bonne foi au sens de l'art. 2 CC ne peut en principe pas suffire pour justifier l'intervention des autorités répressives et, partant, entraîner l'imputation des frais au prévenu libéré (TF 6B_591/2022 du 4 mai 2023 consid. 3.1.2).</w:t>
      </w:r>
    </w:p>
    <w:p>
      <w:r>
        <w:rPr>
          <w:b/>
        </w:rPr>
        <w:t>E. 3.2.2</w:t>
      </w:r>
    </w:p>
    <w:p>
      <w:r>
        <w:t>Selon l'art. 429 al. 1 let. a CPP, en vigueur depuis le 1 er janvier 2024,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Selon l’art. 430 al. 1 let. a CPP, l'autorité pénale peut réduire ou refuser l'indemnité lorsque le prévenu a provoqué illicitement et fautivement l'ouverture de la procédure ou a rendu plus difficile la conduite de celle-ci.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142 IV 45 consid. 2.1 ; ATF 138 IV 197 consid. 2.3.5, JdT 2013 IV 184 ; TF 6B_938/2018 du 28 novembre 2018 consid. 1.1 ; TF 6B_237/2016 du 18 juillet 2016 consid. 3.1). L'art. 430 al. 1 let. a CPP est le pendant de l'art. 426 al. 2 CPP en matière de frais, la jurisprudence y relative étant applicable par analogie (TF 6B_67/2019 du 16 décembre 2020 consid. 9.2 ; TF 6B_1146/2016 du 14 juillet 2017 consid. 1.3). La question de l'indemnisation (art. 429 à 434 CPP) doit être traitée après celle des frais (ATF 145 IV 268 consid. 1.2 ; TF 6B_113/2024 du 14 juin 2024 consid. 1.2.2 ; TF 7B_46/2022 du 31 août 2023 consid. 2.1.2). 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proportion (ATF 145 IV 94 consid. 2.3.2 ; ATF 145 IV 268 consid. 1.2).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145 IV 94 consid. 2.3.2 ; ATF 137 IV 352 consid. 2.4.2 ; TF 7B_35/2022 du 22 février 2024 consid. 4.2).</w:t>
      </w:r>
    </w:p>
    <w:p>
      <w:r>
        <w:rPr>
          <w:b/>
        </w:rPr>
        <w:t>E. 3.2.3</w:t>
      </w:r>
    </w:p>
    <w:p>
      <w:r>
        <w:t>Aux termes de l'art. 28 al. 1 CO, la partie induite à contracter par le dol de l'autre n'est pas obligée, même si son erreur n'est pas essentielle. Le dol est une tromperie intentionnelle qui détermine la dupe, dans l'erreur, à accomplir un acte juridique ; le dol éventuel suffit (ATF 136 III 528 consid. 3.4.2). La tromperie peut résulter de l'affirmation de faits faux ou de la dissimulation de faits vrais ;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(TF 4A_62/2017 du 22 novembre 2017 consid. 2.1 et la doctrine citée). Le dol au sens de l'art. 28 CO suppose une tromperie qui a abouti. Il n'est pas nécessaire qu'elle provoque une erreur essentielle au sens de l'art. 24 CO ; il suffit que, sans l'erreur, la dupe n'aurait pas conclu le contrat ou ne l'aurait pas conclu avec le même contenu (TF 4A_62/2017 précité). Selon l’art. 211 CO, l’acheteur est tenu de payer le prix conformément aux clauses du contrat et d’accepter la chose vendue, pourvu qu’elle lui soit offerte dans les conditions stipulées.</w:t>
      </w:r>
    </w:p>
    <w:p>
      <w:r>
        <w:rPr>
          <w:b/>
        </w:rPr>
        <w:t>E. 3.3.1</w:t>
      </w:r>
    </w:p>
    <w:p>
      <w:r>
        <w:t>L’appelant a été libéré de l’infraction d’escroquerie au bénéfice de la prescription profitant en cela de l’anéantissement du jugement rendu par défaut contre lui le 3 décembre 2009 ensuite de l’admission de sa demande de nouveau jugement, plus de quinze ans s’étant écoulés depuis les faits dénoncés qui se sont produits en juin 2007. Les premiers juges ont exposé que le prévenu n’avait pas remis en cause la matérialité des faits, à savoir qu’il avait bien commandé et emporté les objets concernés, et que son affirmation selon laquelle il était en mesure de payer le matériel lorsqu’il l’avait commandé était contredite par le fait qu’il avait déjà des dettes pour un montant important à ce moment-là et qu’il n’avait toujours rien payé plus de 17 ans après les faits. Contrairement à ce qui avait été retenu par le Juge d’instruction de l’arrondissement du Nord vaudois, les premiers juges ont considéré que le prévenu n’avait pas fourni de « fausse adresse » aux plaignantes, dès lors que [...] correspondait à l’adresse de son entreprise individuelle de l’époque ; toutefois, il était surprenant que le prévenu n’ait pas indiqué son adresse privée dans le canton de Vaud puisqu’il avait confirmé qu’il avait acheté les objets concernés pour son usage personnel. Quant au numéro de téléphone portable, qui n’était plus en fonction après les commandes, le prévenu avait expliqué qu’il l’avait perdu, puis qu’il se l’était fait voler, ce qui n’était guère convaincant. Enfin, il résultait du dossier que le prévenu n’avait plus jamais rien livré à la société G.________SA après les commandes litigieuses, alors que celle-ci faisait partie de sa tournée habituelle. Les premiers juges ont ensuite exposé que la question de la réalisation de l’infraction d’escroquerie pouvait demeurer ouverte dans la mesure où l’action pénale était prescrite. Pour justifier la mise des frais de justice à la charge du prévenu, respectivement le refus de lui allouer une indemnité au sens de l’art. 429 al. 1 let. a CPP, ils ont considéré que son comportement était civilement répréhensible sous l’angle de l’art. 211 CO et qu’il avait clairement violé une « norme de comportement écrite ou non écrite résultant de l’ordre juridique suisse pris dans son ensemble », qui tendait à ce que l’on paie son dû et qu’il n’est pas question de s’approprier du matériel coûteux sans bourse délier. Ayant ainsi provoqué illicitement et fautivement l’ouverture de la procédure pénale, le prévenu devait supporter l’entier des frais de la cause et se voir refuser toute indemnisation pour ses frais de défense.</w:t>
      </w:r>
    </w:p>
    <w:p>
      <w:r>
        <w:rPr>
          <w:b/>
        </w:rPr>
        <w:t>E. 3.3.2</w:t>
      </w:r>
    </w:p>
    <w:p>
      <w:r>
        <w:t>Avec les premiers juges, il y a lieu de retenir que l’adresse communiquée aux plaignantes par l’appelant était celle de sa raison individuelle telle qu’elle figurait au Registre du commerce du canton de Fribourg et que le numéro de son téléphone portable était bien celui qu’il utilisait au moment des faits (P. 5, 8 et 39/2), ce que le témoin T.________, gérant du magasin de la société G.________SA, a confirmé. La question est de savoir si l’on peut discerner une tromperie dans le comportement de l’appelant lors de la conclusion des contrats de vente quant à ses intentions de respecter l’accord passé, soit de déterminer s’il a eu l’intention d’obtenir le matériel et les appareils électroménagers sans les payer, pour un montant total initial de 5'385 fr. 75 (1'167 fr. 75 pour F.________SA et 4'218 fr. pour G.________SA). Pose question, le fait que l’appelant ait communiqué l’adresse de son entreprise individuelle à Fribourg, alors qu’il commandait du matériel pour son usage privé (jgt, p. 5), et qu’il ne résidait pas à cet endroit mais dans le canton de Vaud comme l’ont démontré la procédure de poursuite et les investigations policières (P. 4, 7 et 16). Pose également question, le fait que le numéro de téléphone portable qu’il a communiqué n’était plus valable quinze jours après les faits, comme le déclare le témoin T.________ (PV aud. 2, lignes 15-16), ce qui laisserait percevoir que l’appelant aurait anticipé les démarches de recouvrement de son créancier en changeant de numéro pour les compliquer. On observe par ailleurs que les informations communiquées par l’appelant étaient également de nature à compliquer la réception des courriers adressés par les parties plaignantes, dès lors que la dénomination de son entreprise individuelle ( [...]) ne correspondait pas précisément au nom qu’il leur avait communiqué (X.________). Indépendamment de ces problématiques qui constituent tout au plus des indices d’un comportement frauduleux, il y a lieu d’examiner quelles ont pu être les intentions de l’appelant à la lumière du jugement rendu contre lui le 26 mars 2007 par le Tribunal correctionnel de l’arrondissement de Lausanne – soit quelques semaines avant les faits litigieux – lorsqu’il a été condamné pour abus de confiance, vol (deux fois), escroquerie, tentative d’escroquerie, complicité de tentative d’escroquerie, crime manqué d’escroquerie, violation de domicile (deux fois), mise en circulation de fausse monnaie, faux dans les titres, blanchiment d’argent, infraction à la LSEE (deux fois), contravention à la LSEE et violation grave des règles de la circulation routière (P. 38), à une peine privative de liberté de 15 mois avec sursis pendant 3 ans. Cette décision éclaire ce qu’a pu être la réalité des intentions de l’appelant lorsqu’il a commandé le matériel et les appareils électroménagers. Les comportements illicites pour lesquels l’appelant a été condamné en mars 2007 sont dans la droite ligne des faits litigieux, en particulier s’agissant des différents cas d’escroquerie. Le cas 5 est similaire à l’affaire qui nous occupe (P. 38, p. 16) dans la mesure où l’appelant a effectué une demande de location d’une villa alors qu’il savait n’avoir ni les moyens de payer le loyer ni même la possibilité de verser une garantie, et qu’après avoir convaincu sa victime de lui remettre les clés et de signer avec elle le contrat de bail, il a ensuite fourni de faux éléments pour attester de différents versements qui n’avaient en réalité jamais été réalisés. A cet égard, il faut considérer que l’ordre permanent signé par l’appelant dans l’affaire qui nous occupe, lequel était censé démontrer ses bonnes intentions alors qu’il était en demeure de paiement depuis de nombreux mois, soit sa capacité et sa volonté de payer son dû par le versement d’acomptes mensuels de 200 fr., procède du même mode opératoire que dans l’affaire jugée mars 2007. Contrairement à ce que soutient l’appelant, le témoin T.________ n’a pas dit qu’il lui appartenait de transmettre l’ordre permanent de 200 fr. à la BCV. Il a seulement dit que cet ordre permanent n’avait rien donné (PV aud. 2, lignes 18-19), ce qu’il n’y a absolument aucune raison de ne pas croire. On ne saurait en effet concevoir sérieusement que la plaignante G.________SA n’a pas vainement cherché à faire valoir cet ordre permanent auprès de la banque de l’appelant pour obtenir le paiement de ses factures. Le silence de l’appelant, qui ne s’est pas donné la peine de prendre contact avec son créancier, n’a jamais rien payé et encore moins restitué, en dit long sur la réalité de ses intentions de départ. Son comportement et le temps qui s’est écoulé depuis les faits démontrent qu’il n’a jamais eu les moyens ni la volonté de payer la contrepartie du matériel obtenu, ce alors même qu’il a déclaré, lorsqu’il a été entendu par les premiers juges le 16 juillet 2024, être l’unique administrateur de la société O.________SA qui aurait compté neuf employés fixes et deux équipes de sous-traitants (jgt, p. 6). Du reste, sa mise en poursuite pour les faits du 12 juin 2007 a abouti à la délivrance d’un acte de défaut de biens (P. 16). Pour le reste, on comprend du témoignage de T.________ que l’appelant a su profiter du rapport de confiance instauré avec lui pour obtenir la remise du matériel sans avoir à en acquitter immédiatement son prix (PV aud. 2, lignes 30 ss). Les éléments qui précèdent sont amplement suffisants pour retenir le dol au sens de l’art. 28 CO, qui constitue un acte illicite résultant de la violation d’une norme de comportement générale et dont la notion civile est moins exigeante que l'escroquerie du droit pénal (TF 4A_387/2019 du 5 août 2020 consid. 6.2 ; TF 4A_286/2018 du 5 décembre 2018 consid. 3.4). La faute de l’appelant, qui se définit sur le plan civil comme un manquement de la volonté aux devoirs imposés par l’ordre juridique, est constituée par son intention initiale de tromper ses partenaires contractuels en s’appropriant les marchandises vendues sans avoir jamais eu la volonté d’en acquitter le prix convenu. Aucune enquête pénale n’aurait été ouverte si l’appelant avait adopté le comportement qu’on était en droit d’attendre de lui. A cela s’ajoute que, comme retenu par les premiers juges, l’appelant a violé son obligation contractuelle de payer le prix conformément aux clauses des contrats (CAPE 8 mai 2017/192 consid. 4.3, s’agissant de la violation des obligations de vendeur, d’entrepreneur et de mandataire ; TF 6B_762/2020 du 17 mars 2021 consid. 3.2, s’agissant de la violation des obligations d’entrepreneur ; TF 6B_795/2017 du 30 mai 2018 consid. 1.2, s’agissant de la violation des devoirs de mandataire), ce qui constitue également un acte illicite et fautif justifiant l’application des art. 426 al. 2 et 430 al. 1 let. a CPP. Par voie de conséquence, c’est à bon droit que le Tribunal correctionnel a mis les frais de la cause à la charge du prévenu et qu’il a refusé de lui allouer une indemnité à forme de l'art. 429 CPP.</w:t>
      </w:r>
    </w:p>
    <w:p>
      <w:r>
        <w:rPr>
          <w:b/>
        </w:rPr>
        <w:t>E. 4</w:t>
      </w:r>
    </w:p>
    <w:p>
      <w:r>
        <w:t>Il résulte de ce qui précède que l’appel, manifestement mal fondé, doit être rejeté sans échange d’écritures (art. 390 al. 2 CPP) et le jugement entrepris confirmé. Vu l’issue de la cause, les frais de la procédure d’appel, par 1'430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