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 vom 3. Oktober 2022</w:t>
      </w:r>
    </w:p>
    <w:p>
      <w:r>
        <w:t>VD Tribunal cantonal, 2022-10-03, FR</w:t>
      </w:r>
    </w:p>
    <w:p>
      <w:r>
        <w:rPr>
          <w:b/>
        </w:rPr>
        <w:t xml:space="preserve">Quelle: </w:t>
      </w:r>
      <w:r>
        <w:t>https://mcp.opencaselaw.ch/entscheid/vd_findinfo_Jug___2025___22</w:t>
      </w:r>
    </w:p>
    <w:p>
      <w:r>
        <w:t>FR: VD_FINDINFO Jug / 2025 / 22 du 3 octobre 2022</w:t>
      </w:r>
    </w:p>
    <w:p>
      <w:r>
        <w:t>IT: VD_FINDINFO Jug / 2025 / 22 del 3 ottobre 2022</w:t>
      </w:r>
    </w:p>
    <w:p>
      <w:pPr>
        <w:pStyle w:val="Heading2"/>
      </w:pPr>
      <w:r>
        <w:t>Regeste</w:t>
      </w:r>
    </w:p>
    <w:p>
      <w:r>
        <w:t>TRIBUNAL FÉDÉRAL, DÉCISION DE RENVOI, FRAIS JUDICIAIRES, INDEMNITÉ{EN GÉNÉRAL} |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L’appel est traité d’office en procédure écrite, dès lors que la Cour de céans ne doit statuer que sur les frais et indemnités (art. 406 al. 1 let. d CPP).</w:t>
      </w:r>
    </w:p>
    <w:p>
      <w:r>
        <w:rPr>
          <w:b/>
        </w:rPr>
        <w:t>E. 3</w:t>
      </w:r>
    </w:p>
    <w:p>
      <w:r>
        <w:t>Dans son arrêt du 31 octobre 2024, le Tribunal fédéral a retenu ce qui suit (consid. 3.4) : « En l'espèce, l'intimé a fixé à la recourante un délai au 21 juin 2018 pour lui restituer le véhicule litigieux. Il n'est pas reproché, à juste titre, d'acte d'appropriation à la recourante avant son comportement consistant à réimmatriculer le véhicule à son propre nom, le 21 juin 2018. Cet acte est intervenu alors que le véhicule avait déjà été récupéré par son propriétaire. Or l'infraction d'abus de confiance suppose que la chose mobilière soit confiée. La voiture avait certes été confiée à la recourante, toutefois le 21 juin 2018, lorsque celle-ci a fait immatriculer le véhicule en son propre nom, le propriétaire (l'intimé) avait d'ores et déjà repris ses droits sur le véhicule en le faisant remorquer dans un garage, entre le 19 et le 20 juin 2018, de [...] où habitait la recourante à [...]. La recourante avait d'ailleurs porté plainte pour vol suite à ce remorquage (cf. jugement attaqué. p. 18). Ainsi, on comprend que la recourante ne disposait plus de la maîtrise du véhicule, même si elle avait conservé le permis de circulation. Partant, faute de la réalisation d'un des éléments constitutifs objectifs de l'abus de confiance, la cour cantonale ne pouvait pas condamner la recourante pour cette infraction. Le recours doit être admis sur ce point et le jugement querellé réformé (art. 107 al. 2 LTF) en ce sens que la recourante doit être acquittée de ce chef de prévention. » Vu ce qui précède, l’appelante sera libérée du chef d’infraction d’abus de confiance et les chiffres II à VI du dispositif du jugement rendu le 3 octobre 2022 par le Tribunal de police de l’arrondissement de l’Est vaudois modifiés en ce sens. Tous les frais de première instance, soit l’indemnité allouée à Me Sophie Leuenberger par 7'512 fr. 10, l’indemnité allouée à Me Xavier de Haller par 12'133 fr. 35, les indemnités allouées aux précédents défenseurs d’office de X.________ (Me Aurélie Cornamusaz par 4'241 fr., Me Annie Schnitzler par 926 fr. 15 et Me Christine Sattiva Spring par 2'747 fr. 95), ainsi que les frais de procédure par 6'275 fr., soit au total 33'835 fr. 55, seront laissés à la charge de l’Etat.</w:t>
      </w:r>
    </w:p>
    <w:p>
      <w:r>
        <w:rPr>
          <w:b/>
        </w:rPr>
        <w:t>E. 4</w:t>
      </w:r>
    </w:p>
    <w:p>
      <w:r>
        <w:t>Les frais de la procédure d’appel antérieure à l’arrêt du Tribunal fédéral, par 11'355 fr. 20, y compris les indemnités allouées au défenseur d’office d’E.________ et au défenseur d’office de X.________, seront laissés à la charge de l’Etat. Les frais de la procédure d'appel postérieure à l’arrêt du Tribunal fédéral, par 770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