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219 vom 10. September 2024</w:t>
      </w:r>
    </w:p>
    <w:p>
      <w:r>
        <w:t>VD Tribunal cantonal, 2024-09-10, FR</w:t>
      </w:r>
    </w:p>
    <w:p>
      <w:r>
        <w:rPr>
          <w:b/>
        </w:rPr>
        <w:t xml:space="preserve">Quelle: </w:t>
      </w:r>
      <w:r>
        <w:t>https://mcp.opencaselaw.ch/entscheid/vd_findinfo_Jug___2025___219</w:t>
      </w:r>
    </w:p>
    <w:p>
      <w:r>
        <w:t>FR: VD_FINDINFO Jug / 2025 / 219 du 10 septembre 2024</w:t>
      </w:r>
    </w:p>
    <w:p>
      <w:r>
        <w:t>IT: VD_FINDINFO Jug / 2025 / 219 del 10 settembre 2024</w:t>
      </w:r>
    </w:p>
    <w:p>
      <w:pPr>
        <w:pStyle w:val="Heading2"/>
      </w:pPr>
      <w:r>
        <w:t>Regeste</w:t>
      </w:r>
    </w:p>
    <w:p>
      <w:r>
        <w:t>ESCROQUERIE, PERCEPTION ABUSIVE DE PRESTATIONS DE L'AIDE SOCIALE, OBTENTION ILLICITE DE PRESTATIONS D'UNE ASSURANCE SOCIALE, EXPULSION{DROIT PÉNAL} | 146 CP, 148a CP, 66a al. 1 let. e CP</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B.G.________ et d'E.G.________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Appel de B.G.________</w:t>
      </w:r>
    </w:p>
    <w:p>
      <w:r>
        <w:rPr>
          <w:b/>
        </w:rPr>
        <w:t>E. 3.1</w:t>
      </w:r>
    </w:p>
    <w:p>
      <w:r>
        <w:t>L'appelante conteste la qualification juridique des faits retenue par la première juge, à savoir l'infraction d'escroquerie, niant toute activité délictueuse. Certes, elle n'avait pas annoncé l'ouverture du compte bancaire auprès de la Raiffeisen, mais ça n'était qu'une omission, pas un édifice de mensonges. De plus, elle avait annoncé immédiatement son emploi au CSR. En outre, avant que le curateur ne prenne les choses en main, c'est son mari qui s'était occupé de tout, notamment de remplir les annonces mensuelles auprès du CSR. Elle n'avait jamais répondu de manière mensongère à des questions explicites du CSR. Elle n'avait donc rien « commis », mais avait tout au plus « omis ». N'ayant pas été dans une position de garante, l'omission ne peut pas réaliser l'infraction d'escroquerie. L'appelante se plaint également d'une violation de la maxime d'accusation au motif que l'acte d'accusation ne décrit pas quel comportement astucieux elle aurait bien pu commettre pour tromper le CSR. L'appelante invoque encore que si une tromperie – non astucieuse – devait tout de même être retenue, c'est l'art. 148a CP qui trouverait application. Elle semble enfin plaider implicitement le « cas de peu de gravité » de l'art. 148a al. 2 CP, en soulignant la courte durée de la perception des prestations (quatre mois) et le faible montant en jeu.</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147 IV 505 consid. 2.1 ; ATF 143 IV 63 consid. 2.2).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(ATF 147 IV 505 précité ; TF 6B_1185/2018 du 14 janvier 2019 consid. 2.1). Les art. 324 ss CPP règlent la mise en accusation, en particulier le contenu strict de l’acte d’accusation. L’art. 325 CPP détermine le contenu de l'acte d'accusation. Cette disposition exige que l'acte d'accusation désigne notamment, le plus brièvement possible, mais avec précision, les actes reprochés au prévenu, le lieu, la date et l'heure de leur commission ainsi que leurs conséquences et le mode de procéder de l'auteur, de même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(fonction de délimitation et d’information).</w:t>
      </w:r>
    </w:p>
    <w:p>
      <w:r>
        <w:rPr>
          <w:b/>
        </w:rPr>
        <w:t>E. 3.2.2</w:t>
      </w:r>
    </w:p>
    <w:p>
      <w:r>
        <w:t>Aux termes de l’art. 146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(TF 6B_31/2021 du 7 avril 2022 consid. 2.2.1 ; TF 6B_653/2021 du 10 février 2022 consid. 1.3.1).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(TF 6B_31/2021 précité et les références citées).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(TF 6B_817/2018 du 23 octobre 2018 consid. 2.3.1 et les références citées). Pour qu’il y ait escroquerie, une simple tromperie ne suffit cependant pas ;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6B_1290/2022 du 7 juillet 2023 consid. 1.4.1 ; TF 6B_31/2021 précité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6B_1290/2022 du 7 juillet 2023 ; TF 6B_31/2021 précité et les références citées).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 TF 6B_1209/2021 du 3 mars 2023 consid. 1.2). L’infraction d’escroquerie se commet en principe par une action. Tel est le cas lorsqu’elle est perpétrée par actes concluants (ATF 140 IV 11 consid. 2.3.2, JdT 2014 IV 217). L'assuré qui, en vertu de l'art. 31 LPGA (Loi fédérale sur la partie générale du droit des assurances sociales du 6 octobre 2000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Le Tribunal fédéral a en particulier retenu, dans le cas d’un prévenu ayant signé chaque mois un questionnaire mentionnant faussement que son épouse ne réalisait aucun revenu et qu’elle était femme au foyer, l’existence d’une tromperie astucieuse. En outre, en présence de déclarations très claires signées du prévenu, il ne pouvait être exigé de l’autorité qu’elle procède à d’autres vérifications au vu de l’absence de raisons de susciter des interrogations à propos des prestations sociales versées (TF 6B_558/2009 consid. 1.2).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6B_158/2020 du 1 er avril 2020 consid. 3.5.1 ; TF 6B_496/2015 du 6 avril 2016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6B_972/2023 précité et les références citées).</w:t>
      </w:r>
    </w:p>
    <w:p>
      <w:r>
        <w:rPr>
          <w:b/>
        </w:rPr>
        <w:t>E. 3.2.3</w:t>
      </w:r>
    </w:p>
    <w:p>
      <w:r>
        <w:t>À teneur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Selon le Message du Conseil fédéral, l'art. 148a CP constitue une clause générale (« Auffangtatbestand ») par rapport à l'escroquerie au sens de l'art. 146 CP, qui est aussi susceptible de punir l'obtention illicite de prestations sociales (Message du 26 juin 2013 concernant une modification du Code pénal et du Code pénal militaire [Mise en oeuvre de l'art. 121, al. 3 à 6, Cst. relatif au renvoi des étrangers criminels], FF 2013 5373, ch. 2.1.6 ad art. 148, p. 5431). L'art. 148a CP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(TF 6B_886/2024 du 3 février 2025 consid. 2.1.2 et les références citées).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(TF 6B_886/2024 précité consid. 2.1.2). Sur le plan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(TF 6B_886/2024 précité consid. 2.1.3).</w:t>
      </w:r>
    </w:p>
    <w:p>
      <w:r>
        <w:rPr>
          <w:b/>
        </w:rPr>
        <w:t>E. 3.2.4</w:t>
      </w:r>
    </w:p>
    <w:p>
      <w:r>
        <w:t>Dans les cas de peu de gravité au sens de l'art. 148a al. 2 CP, l'infraction d'obtention illicite de prestations d'une assurance sociale ou de l'aide sociale, punie de l'amende, représente une contravention (cf. art. 103 CP ; TF 6B_993/2023 du 11 décembre 2023 consid. 1.1 et les références citées). La loi ne définit pas le cas de peu de gravité. Cependant, selon la jurisprudence, lorsque le montant du délit est inférieur à 3'000 fr., il faut toujours partir du principe qu'il s'agit d'un cas de peu de gravité. Si le montant est compris entre 3'000 fr. et 35'999 fr. 99, il convient d'évaluer, au cas par cas, l'ampleur de la faute en se fondant sur l'ensemble des circonstances de l'infraction. À partir d'un montant de 36'000 fr., il n'est en principe pas possible de retenir un cas de peu de gravité, à moins de circonstances extraordinaires et particulièrement importantes qui entraînent une diminution substantielle de la faute (ATF 149 IV 273 consid. 1.5.7 ; TF 6B_993/2023 précité consid. 1.1). Ainsi, et en particulier lorsque le montant des prestations sociales obtenues de façon illicite se situe dans la zone médiane, il y a lieu de tenir compte d'autres éléments susceptibles de « réduire » la culpabilité de l'auteur (cf. art. 47 CP ; TF 6B_993/2023 précité consid. 1.1 ; TF 6B_797/2021 du 20 juillet 2022 consid. 2.2 et les références citées),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(ATF 149 IV 273 consid. 1.5.7 ; TF 6B_993/2023 précité consid. 1.1 ; TF 6B_797/2021 précité consid. 2.2).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(TF 6B_993/2023 précité consid. 1.1 ; TF 6B_773/2021 du 5 octobre 2022 consid. 2.3). S'il existe des circonstances notables atténuant la faute, on est en présence d'un cas de peu de gravité (ATF 149 IV 273 consid. 1.5.7 ; TF 6B_993/2023 précité consid. 1.1).</w:t>
      </w:r>
    </w:p>
    <w:p>
      <w:r>
        <w:rPr>
          <w:b/>
        </w:rPr>
        <w:t>E. 3.3.1</w:t>
      </w:r>
    </w:p>
    <w:p>
      <w:r>
        <w:t>La première juge a retenu que B.G.________ avait eu l'intelligence, avec son époux, d'ouvrir des comptes dans d'autres établissements bancaires que ceux dont le CSR et le curateur avaient connaissance. E.G.________, qui disposait d'un compte à la [...] et était déjà sous curatelle de gestion et de représentation, avait ouvert un compte à la [...], empêchant ainsi son curateur de l'époque d'en avoir connaissance et ne l'annonçant pas au CSR. Quant à B.G.________, elle avait ouvert un compte auprès de la [...] à son nom avant que la mesure de curatelle ne soit instituée à son égard et sans l'annoncer au CSR. Selon la première juge, de tels comportements démontraient indéniablement que le couple avait eu recours à un édifice de mensonges puisqu'il s'était assuré que les comptes ouverts demeureraient inconnus tant des curateurs que du CSR. Les époux [...] avaient intentionnellement caché des informations difficilement vérifiables, tant au CSR qu'à leurs curateurs, dans le but de percevoir des prestations de l'aide sociale.</w:t>
      </w:r>
    </w:p>
    <w:p>
      <w:r>
        <w:rPr>
          <w:b/>
        </w:rPr>
        <w:t>E. 3.3.2</w:t>
      </w:r>
    </w:p>
    <w:p>
      <w:r>
        <w:t>Le raisonnement de la première juge ne saurait être suivi. Certes, la curatelle en faveur de B.G.________ n'a été instituée que par mesures superprovisionnelles du 21 avril 2021, soit bien postérieurement aux actes reprochés (P. 33/1). Néanmoins, le curateur J.________ intervenait déjà en septembre 2020, à l'époque des faits litigieux, en faveur d'E.G.________. C'est le curateur qui a rempli les « Questionnaires mensuels et déclarations de revenus » des 16 septembre, 16 novembre et 14 décembre 2020 (P. 9/3). En fin de ces questionnaires figure la seule signature du représentant légal J.________. La case « signature du conjoint » est vide. B.G.________ n'a donc pas signé ces documents et rien n'indique qu'elle aurait donné l'instruction – on ne sait à quel titre du reste – à J.________ de les signer pour elle. B.G.________ admet avoir à tout le moins participé à l'ouverture du compte [...], mais cela n'est pas encore suffisant pour retenir une tromperie astucieuse active. On ne sait pas dans le détail quels ont été les contacts entre B.G.________ et le CSR. Le journal du CSR, qui mentionne plusieurs fois E.G.________, fait état de contacts avec le curateur, mais ne mentionne guère l'appelante (cf. P. 9/4, journal du CSR, p. 13-18 pour la période litigieuse). Les déclarations inconsistantes d'E.G.________ n'apportent aucun éclairage (cf. PV aud. 1 ; PV aud. 3 ; jugement entrepris, pp. 5 à 7 ; pp. 5 et 6 supra ). Quant à B.G.________, lors de sa première audition, elle a déclaré avoir annoncé immédiatement sa prise d'emploi au CSR (PV aud. 2, p. 2, lignes 48-51). Cependant, rien de tel ne figure au dossier du CSR. Lors de sa seconde audition devant le Procureur, elle a indiqué qu'elle pensait que c'était le curateur qui s'occupait de tout (PV aud. 4, p. 2, lignes 55-57). Par ailleurs, le curateur J.________, qui n'a jamais été entendu, ne travaille plus au Service des curatelles et tutelles professionnelles ; en effet, lorsque le Ministère public l'a interpellé, c'est sa remplaçante [...] qui a répondu (P. 32 et 33). La Cour de céans considère par conséquent qu'aucun comportement actif ne peut être reproché à B.G.________. Cela est du reste confirmé par la lecture de l'acte d'accusation, qui ne mentionne pas d'acte de tromperie astucieuse de la part de celle-ci. L'infraction d'escroquerie ne peut donc pas être retenue.</w:t>
      </w:r>
    </w:p>
    <w:p>
      <w:r>
        <w:rPr>
          <w:b/>
        </w:rPr>
        <w:t>E. 3.3.3</w:t>
      </w:r>
    </w:p>
    <w:p>
      <w:r>
        <w:t>En revanche, B.G.________ a toujours affirmé qu'elle savait qu'elle devait annoncer les revenus de son travail. En ne l'ayant pas fait, elle a réalisé l'infraction de l'art. 148a CP, qui trouve application lorsque l'élément de l'astuce, typique de l'escroquerie, n'est pas réalisé. La loi sur l'action sociale vaudoise (LASV ; BLV 850.051) prévoit, à son art. 38, que tous les faits ayant une incidence sur les prestations doivent être déclarés. Ainsi, le simple fait que B.G.________ n'ait pas communiqué sa prise d'emploi et l'ouverture d'un compte auprès Raiffeisen suffit à réaliser l'infraction. En outre, tel que cela ressort de la jurisprudence rappelée ci-dessus (cf. consid. 3.2.3 supra ), le fait qu'elle n'occupait pas une position de garant est sans incidence s'agissant de l'obtention illicite de prestations d'une assurance sociale.</w:t>
      </w:r>
    </w:p>
    <w:p>
      <w:r>
        <w:rPr>
          <w:b/>
        </w:rPr>
        <w:t>E. 3.3.4</w:t>
      </w:r>
    </w:p>
    <w:p>
      <w:r>
        <w:t>L'indu a porté sur 10'520 fr. 60, de sorte qu'il se situe dans la zone médiane. En ce qui concerne la durée de la perception, on se trouve en présence d'une courte période de perception illicite de la prestation, puisqu'elle n'a duré que quatre mois. En outre, le comportement de B.G.________ ne révèle qu'une faible énergie criminelle. Il y a dès lors lieu de retenir le cas de peu gravité. Le jugement entrepris devra par conséquent être modifié en ce sens que B.G.________ est libérée du chef de prévention d'escroquerie et reconnue coupable d'obtention illicite de prestations d'une assurance sociale ou de l'aide sociale de peu de gravité au sens de l'art. 148a al. 2 CP.</w:t>
      </w:r>
    </w:p>
    <w:p>
      <w:r>
        <w:rPr>
          <w:b/>
        </w:rPr>
        <w:t>E. 4</w:t>
      </w:r>
    </w:p>
    <w:p>
      <w:r>
        <w:t>B.G.________, qui est reconnue coupable d'obtention illicite de prestations d'une assurance sociale ou de l'aide sociale de peu de gravité, sera condamnée à une amende de 500 francs (art. 106 al. 1 et 3 CP). Dite peine tient compte de la faute commise et de la situation personnelle de l'appelante. La peine privative de liberté de substitution en cas de non-paiement fautif sera fixée à</w:t>
      </w:r>
    </w:p>
    <w:p>
      <w:r>
        <w:rPr>
          <w:b/>
        </w:rPr>
        <w:t>E. 5</w:t>
      </w:r>
    </w:p>
    <w:p>
      <w:r>
        <w:t>jours (art. 106 al. 2 CP). Le jugement entrepris sera modifié dans ce sens. L'appelante ne saurait bénéficier du sursis auquel elle conclut, le prononcé d'une amende ne pouvant être assorti du sursis (art. 105 al. 1 CP).</w:t>
      </w:r>
    </w:p>
    <w:p>
      <w:r>
        <w:rPr>
          <w:b/>
        </w:rPr>
        <w:t>E. 5.1</w:t>
      </w:r>
    </w:p>
    <w:p>
      <w:r>
        <w:t>L'appelante conteste enfin son expulsion. Elle fait valoir qu'elle est arrivée en Suisse il y a cinq ans et qu'elle a tout de suite trouvé du travail. Elle est mère d'une fille de 3 ans, née en Suisse. Elle n'a pas d'antécédents judiciaires et ne met pas en danger l'intérêt public. Ses intérêts privés l'emportent sur l'intérêt public à son expulsion. La clause de rigueur de l'art. 66a al. 2 CP doit être appliquée.</w:t>
      </w:r>
    </w:p>
    <w:p>
      <w:r>
        <w:rPr>
          <w:b/>
        </w:rPr>
        <w:t>E. 5.2</w:t>
      </w:r>
    </w:p>
    <w:p>
      <w:r>
        <w:t>En tant que B.G.________ est reconnue coupable d'une contravention, à savoir d'obtention illicite de prestations d'une assurance sociale ou de l'aide sociale de peu de gravité au sens de l'art. 148a al. 2 CP, elle ne remplit pas les conditions d'une expulsion au sens des art. 66a et 66a bis CP. Le ch. VIII du dispositif du jugement entrepris sera dès lors supprimé.</w:t>
      </w:r>
    </w:p>
    <w:p>
      <w:r>
        <w:rPr>
          <w:b/>
        </w:rPr>
        <w:t>E. 6.1</w:t>
      </w:r>
    </w:p>
    <w:p>
      <w:r>
        <w:t>L’appelante conclut à ce que les frais de première instance mis à sa charge, comprenant l'indemnité allouée à son défenseur d'office, soient laissés à la charge de l’Etat.</w:t>
      </w:r>
    </w:p>
    <w:p>
      <w:r>
        <w:rPr>
          <w:b/>
        </w:rPr>
        <w:t>E. 6.2</w:t>
      </w:r>
    </w:p>
    <w:p>
      <w:r>
        <w:t>La libération de B.G.________ du chef de prévention d'escroquerie et sa condamnation pour obtention illicite de prestations d'une assurance sociale ou de l'aide sociale de peu de gravité justifient que les indemnités allouées à ses défenseurs d'office successifs par la première juge ne soient mises à sa charge qu’à raison de la moitié, soit par 2'157 fr. 80, le solde étant laissé à la charge de l’Etat. Le jugement entrepris sera modifié dans ce sens. Il est précisé, s'agissant de l'émolument de première instance, que la première juge l'avait mis intégralement à la charge d'E.G.________, de sorte que le jugement n'a pas à être modifié sur ce point. Appel d'E.G.________</w:t>
      </w:r>
    </w:p>
    <w:p>
      <w:r>
        <w:rPr>
          <w:b/>
        </w:rPr>
        <w:t>E. 7.1</w:t>
      </w:r>
    </w:p>
    <w:p>
      <w:r>
        <w:t>E.G.________ conteste son expulsion, qu'il estime disproportionnée. Il se prévaut d'une directive du Procureur général genevois qui préconise l'expulsion uniquement pour des peines supérieures à 6 mois. Il explique ensuite qu'il a quitté le Kosovo depuis une vingtaine d'années et que depuis lors, il a façonné sa vie en Suisse, où il a fondé une famille et où vit sa famille proche, soit son frère. Il travaille et donne entière satisfaction. Un retour au Kosovo entraînerait des conséquences graves, en particulier pour sa fille et son enfant à naître. Ses antécédents concernent uniquement la LCR. Le Tribunal aurait dû examiner plus attentivement sa situation, avant de considérer qu'il était mal intégré, cette impression étant très subjective et arbitraire. Il fallait procéder à une appréciation plus large : sa culpabilité doit être relativisée, parce qu'il ne comprenait pas les tenants et aboutissants des démarches administratives. Son séjour en Suisse est long. Son épouse et sa fille sont en Suisse. Hors période de covid, il a toujours travaillé. Il ne connaît personne au Kosovo à part des membres « résiduels de sa famille, très âgés et/ou malades ». Il faut encore tenir compte des intérêts privés de son épouse, de sa fille et de son nasciturus. Or, tout cela n'a pas été pris en compte par la première juge. L'expulsion prononcée ne tiendrait ainsi pas compte de la complexité de sa situation familiale. Il s'agit d'une sanction clairement trop sévère et injustifiée. Lors des débats d'appel, le défenseur d'office de l'appelant a plaidé que son mandant ne disposait manifestement pas des compétences lui permettant de comprendre les enjeux de la procédure. La faute qu'il avait commise était donc de peu de gravité et ne justifiait pas son expulsion au Kosovo.</w:t>
      </w:r>
    </w:p>
    <w:p>
      <w:r>
        <w:rPr>
          <w:b/>
        </w:rPr>
        <w:t>E. 7.2.1</w:t>
      </w:r>
    </w:p>
    <w:p>
      <w:r>
        <w:t>Aux termes de l'art. 66a al. 1 let. e CP, le juge expulse de Suisse l'étranger qui est condamné notamment pour escroquerie à une assurance sociale ou à l’aide sociale, quelle que soit la quotité de la peine prononcée à son encontre, pour une durée de cinq à quinze ans.</w:t>
      </w:r>
    </w:p>
    <w:p>
      <w:r>
        <w:rPr>
          <w:b/>
        </w:rPr>
        <w:t>E. 7.2.2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 ATF 144 IV 332 consid. 3.3 ; TF 6B_886/2024 du 3 février 2025 consid. 3.1.1). Cette clause dite de rigueur permet de garantir le principe de la proportionnalité (cf. art. 5 al. 2 Cst. ; ATF 149 IV 231 consid. 2.1.1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ATF 144 IV 332 consid. 3.3.2 ; TF 6B_886/2024 précité consid. 3.1.1).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 ; TF 6B_886/2024 consid. 3.1.1).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l'art.</w:t>
      </w:r>
    </w:p>
    <w:p>
      <w:r>
        <w:rPr>
          <w:b/>
        </w:rPr>
        <w:t>E. 7.3</w:t>
      </w:r>
    </w:p>
    <w:p>
      <w:r>
        <w:t>En l'espèce, l'appelant remplit les conditions d'une expulsion obligatoire, en tant qu'il s'est rendu coupable d'escroquerie (art. 66a al. 1 let. e CP), sous réserve d'une application de la clause de rigueur prévue à l'art. 66a al. 2 CP. Il y a ainsi lieu d'examiner si l'expulsion d'E.G.________ le placerait dans une situation personnelle grave. L'appelant vit en Suisse depuis un peu plus de 20 ans. En dépit de la longue durée de son séjour, il est mal intégré. En effet, il ne maîtrise pas bien le français, étant relevé qu'il a dû être fait appel à un interprète dans le cadre de la présente procédure. Par ailleurs, il n'a pas acquis de formation en Suisse. Il doit aussi être tenu compte du fait qu'il a deux antécédents pour des infractions à la LCR. En outre, s'il a travaillé par périodes, il est observé qu'il a aussi perçu le chômage et a bénéficié de l'aide sociale à plusieurs reprises, d'abord dans le canton du Valais puis dans le canton de Vaud. Il est encore relevé que sa situation professionnelle s'est péjorée depuis le dépôt de son appel, puisqu'il n'occupe désormais plus d'emploi. Il n'apparaît au surplus pas qu'il puisse se prévaloir de liens sociaux spécialement intenses avec la Suisse. Bien que son frère semble vivre en Suisse, comme il l'allègue, et qu'il soutienne qu'il n'a plus personne au Kosovo, à part des membres résiduels de sa famille, très âgés et/ou malades, il ressort du journal du CSR qu'il se rend régulièrement au Kosovo (cf. P. 5/4). Il y a donc conservé des liens, ce qui est également conforté par le fait qu'il a pu s'y marier en 2019. Dans ces conditions, E.G.________ n'établit pas l'existence de liens sociaux et professionnels spécialement intenses avec la Suisse, notablement supérieurs à ceux qui résultent d'une intégration ordinaire, bien au contraire. Il ne peut ainsi pas se prévaloir d'un droit au respect de sa vie privée au sens de l'art. 8 par. 1 CEDH. S'agissant de la prise en compte d'une éventuelle atteinte à sa vie familiale et de l'intérêt de ses enfants, l'appelant est marié à B.G.________, avec laquelle il a désormais deux enfants. Toute la famille est d'origine kosovare. Les époux font ménage commun, mais il y a lieu d'observer qu'ils se sont séparés provisoirement à l'automne 2022, période durant laquelle B.G.________ s'est rendue à MalleyPrairie (P. 16 et 17). Les relations familiales ne paraissent ainsi pas intactes. Si elles devaient l'être, il peut être raisonnablement exigé de B.G.________ et des enfants qu'ils suivent E.G.________ au Kosovo. En effet, B.G.________ dispose d'un permis B et son statut en Suisse dépend de celui de son époux. Elle ne travaille plus et ne parle pas le français. Toute sa famille et ses amis vivent au Kosovo. Les enfants du couple sont en bas âge et ne sont pas encore scolarisés. Ils n'ont encore tissé aucun lien social en Suisse et n'ont pas encore commencé à apprendre le français. L'épouse et les enfants de l'appelant ne bénéficient dès lors pas d'un droit de présence consolidé en Suisse. Partant, E.G.________ ne peut se prévaloir d'une atteinte à la vie familiale. En ce qui concerne les premiers enfants de l'appelant, nés en 2005 et 2012, on ignore où ils sont domiciliés. Dans l'hypothèse où ils vivraient en Suisse – ce qui n'est ni allégué ni établi –, E.G.________ ne se prévaut pas d'entretenir des relations personnelles avec ceux-ci. L'appelant n'a tout simplement fait aucune mention de ses premiers enfants dans le cadre de l'enquête ainsi qu'aux débats de première instance et d'appel. Il ressort des pièces produites par la DGCS qu'il ne les voit plus depuis le printemps 2017, moment auquel remonte sa séparation d'avec sa précédente épouse, et qu'il ne leur verse aucune contribution d'entretien. Ainsi, E.G.________ ne peut pas se prévaloir d'une atteinte à la vie familiale, y compris à l'égard de ses premiers enfants. En définitive, la Cour de céans considère qu'en l'absence d'intégration réussie et d'atteinte à sa vie familiale, l'expulsion de l'appelant du territoire suisse ne le met pas dans une situation personnelle grave au sens de l'art. 66a al. 2 CP. La première condition n'est dès lors pas réalisée, de sorte que la clause de rigueur n'est pas applicable. Il n'y a pas lieu d'examiner par surabondance de droit si la seconde condition prévue à l'art. 66a al. 2 CP est réalisée – soit celle de savoir si l'intérêt privé de l'appelant à demeurer en Suisse l'emporte sur les intérêts publics à l'expulsion –, étant rappelé que les deux conditions sont cumulatives. Pour le surplus, le recourant ne formule aucun grief relatif à la durée de la mesure prononcée à son encontre. La durée (minimale) de cinq ans s'avère d'ailleurs conforme au principe de la proportionnalité découlant des art. 5 al. 2 Cst. et 8 par. 2 CEDH. Partant, les griefs soulevés par l'appelant sont mal fondés et le jugement devra être confirmé sur ce point, le prononcé de l'expulsion de l'appelant ne violant pas le droit fédéral et international.</w:t>
      </w:r>
    </w:p>
    <w:p>
      <w:r>
        <w:rPr>
          <w:b/>
        </w:rPr>
        <w:t>E. 8</w:t>
      </w:r>
    </w:p>
    <w:p>
      <w:r>
        <w:t>En définitive, l’appel de B.G.________ doit être partiellement admis et l'appel d'E.G.________ rejeté. Me Jeton Kryeziu, défenseur d’office de B.G.________, a produit une liste d’opérations faisant état de 2 heures 25 d’activité d’avocat et 5 heures 40 d’activité d’avocat-stagiaire (P. 67), dont il n'y a pas lieu de s’écarter. Il convient par conséquent de fixer l’indemnité de défenseur d’office à 1'166 fr. 95, correspondant aux honoraires, par 1'058 fr., plus 21 fr. 15 de débours et la TVA au taux de 8,1%, par 87 fr. 45. Me François Gillard, défenseur d’office d'E.G.________, a produit une liste d’opérations faisant état d’une activité d'avocat de 7 heures (P. 68). Il y a lieu de déduire 15 minutes correspondant au temps consacré à l'établissement de la note d'honoraires, qui constitue une tâche de secrétariat ne justifiant pas une indemnisation au tarif-horaire de 180 francs. En outre, les débours sont calculés à raison de 2% des honoraires admis, et non 5%, taux applicable en première instance. L’indemnité de défenseur d’office s’élève ainsi à 1'469 fr. 40, correspondant à 6 heures 45 d’activité d’avocat breveté au tarif horaire de 180 fr., soit 1'215 fr. d’honoraires, plus 24 fr. 30 de débours forfaitaires, une vacation forfaitaire à 120 fr. et 110 fr. 10 de TVA à 8,1%. Au vu de l’issue de la cause, les frais de la procédure d’appel, par 5'676 fr. 35, constitués de l'émolument de jugement et d’audience, par 3'040 fr. (art. 21 al. 1 et 2 TFIP), ainsi que des indemnités allouées au défenseur d’office de B.G.________, par 1'166 fr. 95, et au défenseur d'office d'E.G.________, par 1'469 fr. 40, seront répartis comme suit (art. 428 al. 1 CPP) : la moitié de l’émolument et l'indemnité allouée à Me François Gillard seront mis à la charge d'E.G.________ ; le quart de l'émolument et la moitié de l'indemnité allouée à Me Jeton Kryeziu seront mis à la charge de B.G.________, le solde étant laissé à la charge de l’Etat. L'indemnité allouée au défenseur d'office d'E.G.________ et la part de l'indemnité allouée au défenseur d'office de B.G.________ mise à sa charge devront être remboursées à l’Etat de Vaud par ceux-ci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