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201 vom 23. August 2024</w:t>
      </w:r>
    </w:p>
    <w:p>
      <w:r>
        <w:t>VD Tribunal cantonal, 2024-08-23, FR</w:t>
      </w:r>
    </w:p>
    <w:p>
      <w:r>
        <w:rPr>
          <w:b/>
        </w:rPr>
        <w:t xml:space="preserve">Quelle: </w:t>
      </w:r>
      <w:r>
        <w:t>https://mcp.opencaselaw.ch/entscheid/vd_findinfo_Jug___2025___201</w:t>
      </w:r>
    </w:p>
    <w:p>
      <w:r>
        <w:t>FR: VD_FINDINFO Jug / 2025 / 201 du 23 août 2024</w:t>
      </w:r>
    </w:p>
    <w:p>
      <w:r>
        <w:t>IT: VD_FINDINFO Jug / 2025 / 201 del 23 agosto 2024</w:t>
      </w:r>
    </w:p>
    <w:p>
      <w:pPr>
        <w:pStyle w:val="Heading2"/>
      </w:pPr>
      <w:r>
        <w:t>Regeste</w:t>
      </w:r>
    </w:p>
    <w:p>
      <w:r>
        <w:t>VOL{DROIT PÉNAL}, POLICE, DANS L'ACCOMPLISSEMENT DU TRAVAIL, CONDAMNATION | 139 CP, 123 CPP (CH), 126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des parties qui ont la qualité pour recourir (art. 381 et 382 CPP), les appels du Ministère public et de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2.2</w:t>
      </w:r>
    </w:p>
    <w:p>
      <w:r>
        <w:t>et les arrêts cités).</w:t>
      </w:r>
    </w:p>
    <w:p>
      <w:r>
        <w:rPr>
          <w:b/>
        </w:rPr>
        <w:t>E. 3.1</w:t>
      </w:r>
    </w:p>
    <w:p>
      <w:r>
        <w:t>A titre de réquisitions de preuves, Y.________ a sollicité la ré-audition du [...] Z.________, l’audition du [...] et la production par le Ministère public du dossier pénal concernant le vol initial du vélo litigieux.</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3.3</w:t>
      </w:r>
    </w:p>
    <w:p>
      <w:r>
        <w:t>En l’occurrence, il a été donné suite aux réquisitions d’auditions du [...] Z.________ et du [...] (cf. supra , p. 4 et 9). Quant à la production du dossier demandé, l’audition du [...] H.________ des 28 novembre 2022 (PV aud. 3, R. 6) et 23 août 2024 (cf. jgmt, p. 4) ainsi que le document fourni par la partie plaignante dans le cadre de son appel (cf. Bordereau de pièces produit par Y.________ à l’appui de sa déclaration d’appel du 7 octobre 2024 [P. 53/2/9]) suffisent à démontrer que le vélo litigieux faisait l’objet d’une procédure pénale en cours. Partant, dès lors que la réquisition concerne un élément suffisamment prouvé, elle doit être rejetée en application de l’art. 139 al. 2 CPP.</w:t>
      </w:r>
    </w:p>
    <w:p>
      <w:r>
        <w:rPr>
          <w:b/>
        </w:rPr>
        <w:t>E. 4.1</w:t>
      </w:r>
    </w:p>
    <w:p>
      <w:r>
        <w:t>Le Ministère public et la partie plaignante contestent l’acquittement de l’intimé du chef d’accusation de vol. Plus particulièrement, Y.________ invoque une constatation incomplète et erronée des faits, faisant valoir la violation de son droit d’être entendue en ce sens que le jugement ne comporterait pas une motivation suffisante de l’élément subjectif de l’infraction de vol.</w:t>
      </w:r>
    </w:p>
    <w:p>
      <w:r>
        <w:rPr>
          <w:b/>
        </w:rPr>
        <w:t>E. 4.2.1.1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Bâle 2019 [ci-après : CR-CPP], n. 19 ad art. 398 CPP et les références citées).</w:t>
      </w:r>
    </w:p>
    <w:p>
      <w:r>
        <w:rPr>
          <w:b/>
        </w:rPr>
        <w:t>E. 4.2.1.2</w:t>
      </w:r>
    </w:p>
    <w:p>
      <w:r>
        <w:t>L'obligation de motiver, telle qu'elle découle du droit d'être entendu (art. 29 al. 2 Cst., art. 3 al. 2 let. c et 107 CPP ; cf. aussi art.</w:t>
      </w:r>
    </w:p>
    <w:p>
      <w:r>
        <w:rPr>
          <w:b/>
        </w:rPr>
        <w:t>E. 4.2.1.3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CR-CPP,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L’art. 139 aCP (Code pénal suisse du 21 décembre 1937 ; RS 311.0), dont la teneur en vigueur au moment des faits, n’est ni plus ni moins favorable que sa version au 1 er juillet 2023 (art. 2 CP ; RO 2023 259 [FF 2018, pp. 2889]), réprime le comportement de celui qui, pour se procurer ou procurer à un tiers un enrichissement illégitime, aura soustrait une chose mobilière appartenant à autrui dans le but de se l’approprier, sera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Petit Commentaire du Code pénal, 2 e éd., 2017,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consid. 2.1 ; TF 6B_490/2023 précité consid. 2.2 ; TF 6B_375/2020 du 9 juillet 2020 consid. 3.4). La rupture de la possession suppose un acte contraire à la volonté du lésé, faute de quoi il ne saurait être question de vol (Dupuis et al. [éd.], op. cit. ,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références citées).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consid. 2.2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consid. 2.2 et les références citées). Si l’auteur n’est pas absolument convaincu de son droit mais agit néanmoins en acceptant l’éventualité d’un enrichissement illégitime, le dessein doit être retenu sous forme de dol éventuel (ATF 105 IV 29 consid. 3a ; Corboz, Les infractions en droit suisse, vol. I, 3 e éd., Berne 2010, n. 11 ad art. 139 CP et n. 15 ad art. 138 CP).</w:t>
      </w:r>
    </w:p>
    <w:p>
      <w:r>
        <w:rPr>
          <w:b/>
        </w:rPr>
        <w:t>E. 4.3.1</w:t>
      </w:r>
    </w:p>
    <w:p>
      <w:r>
        <w:t>Le Tribunal a considéré qu’il devait trancher la question, non pas de savoir si l’intimé avait sorti le vélo du local et l’avait pris chez lui – ce qu’il a toujours admis – mais de savoir s’il était autorisé à le faire. Le fait que cela se soit passé pendant les heures de service ou qu’il ait utilisé un véhicule de fonction pour transporter le vélo litigieux n’était pas contesté. Quant à l’utilisation du véhicule de fonction et au transport du bois par la même occasion avec ou sans l’autorisation d’un supérieur, l’autorité de première instance a jugé que ces éléments étaient sans incidence sur la problématique à résoudre. Ainsi, elle a estimé que les éléments constitutifs objectifs de l’infraction de vol étaient réalisés dès lors que le vélo litigieux était une chose mobilière appartenant à autrui et qu’il y avait eu rupture de la possession d’autrui. S’agissant de la réalisation de l’élément subjectif, l’autorité précédente a retenu qu’elle faisait face à deux protagonistes, soit l’intimé et son supérieur [...] H.________, aux versions contradictoires – ils étaient les seuls à savoir si une autorisation avait été donnée ou non – et que les autres personnes entendues à titre de personnes appelées à donner des renseignements n’étaient pas à même de confirmer ou infirmer si un accord avait effectivement été donné. Sans remettre en doute les explications du [...] H.________, l’autorité de première instance a jugé qu’il était possible que le vélo litigieux ait été mélangé aux autres vélos au moment du changement de local et que le Journal d’événements de police (ci-après : le JEP), collé ou accroché sur celui-ci, ait pu tomber. Si l’intimé aurait certainement dû faire preuve de plus de vigilance et de prudence et aurait dû, soit demander une quittance, soit faire une recherche sur le JEP en question avec le numéro de série, elle s’est déclarée convaincue qu’il pensait être autorisé à récupérer le vélo litigieux ou un autre vélo et qu’il y avait pu y avoir confusion. Sa conviction était renforcée par le fait que l’intimé avait agi sans se cacher ou prendre de précaution – bien au contraire – pour dissimuler son acte. En effet, il avait agi pendant ses heures de service, avait utilisé son badge pour ouvrir le local, avait emprunté un véhicule de service pour transporter le vélo jusqu’à son domicile et s’était rendu dans un magasin de vélos, un jour après les faits, avec un de ses collègues, pour poser des questions sur un chargeur de vélo électrique. Appliquant le principe in dubio pro reo , elle a donc considéré que le doute devait profiter au prévenu, et a libéré l’intimé du chef d’accusation de vol.</w:t>
      </w:r>
    </w:p>
    <w:p>
      <w:r>
        <w:rPr>
          <w:b/>
        </w:rPr>
        <w:t>E. 4.3.2.1</w:t>
      </w:r>
    </w:p>
    <w:p>
      <w:r>
        <w:t>Si la partie du raisonnement de la première juge sur les faits non pertinents et sur la réalisation des conditions objectives de l’infraction de vol peut être suivie – l’enquête ne porte effectivement pas sur l’utilisation sans droit ou non du véhicule de service et du transport de bois, et il y a assurément eu rupture de la possession d’une chose mobilière – il n’en va pas de même s’agissant du poids accordé aux déclarations des différentes personnes appelées à donner des renseignements et de la réalisation de l’élément subjectif de l’infraction de vol. En effet, contrairement au [...] H.________ qui est resté constant dans ses déclarations, l’intimé a varié dans ses explications et ce n’est qu’une fois confronté aux évidences – la découverte d’un message adressé à son épouse le soir des faits, à 19h41, indiquant qu’il allait venir poser un « VTT » , l’ouverture du local à vélos à une seule occasion, vers 20h11, et le bornage de son téléphone portable à proximité de son domicile vers 20h40, puis de nouveau à [...] vers 21h10 – qu’il a fini par admettre qu’il avait ramené le vélo litigieux à son domicile, avec un véhicule de service, durant sa patrouille du 15 juin 2022. De plus, ses propos sont en contradiction avec bon nombre d’éléments recueillis durant l’enquête. A titre d’exemples, on relèvera que l’intimé a toujours maintenu que le vélo était une « épave » , qu’il était « bien abîmé » et « avait une sale gueule » . Il a même dit qu’il ne possédait « aucune étiquette et encore moins de JEP » (cf. audition de X.________ du 20 avril 2023 [PV aud. 8, R. 6]) alors que le rapport de la Police de sûreté du 13 juillet 2022 démontre précisément le contraire, puisqu’on y voit un vélo en très bon état avec un JEP coincé sur le porte-bagage (cf. P. 27/2). L’intimé a également souligné que le vélo était dans le local depuis 2016 ou 2017 alors qu’il s’y trouvait depuis le mois de mai 2021. Les messages qu’il a adressés à F.________ prouvent qu’il lui a demandé de pouvoir changer son horaire le jour des faits tout en lui indiquant qu’il assurerait une présence « aux places de rencontre barbecue jusqu’à 22h00 » mais pas de pouvoir utiliser le véhicule de service pour prendre le vélo et le ramener à son domicile (P. 27/1). Enfin, le [...], à qui il aurait demandé de pouvoir utiliser le véhicule de service, après qu’on lui avait fait part de ses contradictions, était en vacances (cf. PV aud. 8, R. 30 et R. 31). Ensuite, les propos de l’intimé, contrairement à ceux du [...] H.________, sont infirmés par les déclarations de F.________, du [...] Z.________ et de [...]. En effet, les deux premiers ont nié que l’intimé leur avait demandé l’autorisation de pouvoir utiliser le véhicule de service pour charger le vélo litigieux. F.________ a également indiqué qu’il lui semblait que l’intimé était présent au moment où [...] H.________ avait fait part du fait qu’il cherchait le vélo après sa disparation du local, où il était entreposé, précisant que tout le monde était au courant. Ce dernier a aussi admis que les 52 km effectués avec le véhicule de service étaient manifestement excessifs pour une unique patrouille (cf. PV aud. 4, R. 16, R. 17 et R. 19). [...], de son côté, ne se souvenait pas que l’intimé lui avait demandé de pouvoir prendre le véhicule de service pour se débarrasser du bois dès lors que cela n’entrait pas dans ses prérogatives ( supra , p. 4). Il résulte de ce qui précède que l’intimé n’est pas crédible et que, contrairement à ce que retient le Tribunal, seule la version du [...] H.________ doit être retenue, soit que l’intimé n’avait pas l’autorisation de prendre le vélo en question.</w:t>
      </w:r>
    </w:p>
    <w:p>
      <w:r>
        <w:rPr>
          <w:b/>
        </w:rPr>
        <w:t>E. 4.3.2.2</w:t>
      </w:r>
    </w:p>
    <w:p>
      <w:r>
        <w:t>On précisera qu’il n’y pas lieu de retenir l’hypothèse de l’autorité de première instance, selon laquelle l’intimé se serait trompé de vélo. En effet, l’intéressé a affirmé, tout au long de l’instruction, que le vélo n’était pas en bon état alors que celui qu’il a pris l’était et portait le signe distinctif [...] de la marque [...] sur son cadre, ce qui exclut toute confusion possible avec le vélo qu’il prétendait être autorisé à prendre. Il n’y a pas non plus lieu de considérer que l’intimé souffrait de troubles de la mémoire au moment des faits. Même s’il produit des ordonnances pour la prescription de médicaments datées des 16 mars et 10 juin 2022 (cf. P. 46/1), les différents rapports du Centre Leenaards de la Mémoire du CHUV que l’intimé produits datent des 3 avril et 31 juillet 2023 (cf. P. 46/6 ; P. 46/7 ; P. 46/8), soit postérieurement aux faits. Par ailleurs, on relèvera que l’intimé gardait en mémoire au moment des faits les problématiques qu’il devait résoudre puisqu’il se souvenait qu’il devait chercher un câble de chargeur pour le vélo électrique de son frère, que ses messages téléphoniques témoignent de ses pleines capacités d’organisation et qu’aucun de ses collègues n’a rapporté la moindre difficulté dans leurs rapports de travail avec lui.</w:t>
      </w:r>
    </w:p>
    <w:p>
      <w:r>
        <w:rPr>
          <w:b/>
        </w:rPr>
        <w:t>E. 4.3.2.3</w:t>
      </w:r>
    </w:p>
    <w:p>
      <w:r>
        <w:t>Au vu de ce qui précède, la Cour d’appel pénale est convaincue que l’intimé savait que le vélo litigieux faisait l’objet d’une procédure pénale mais que, comme cela faisait un certain temps qu’il se trouvait dans le local, il a compté sur le fait que personne ne s’en préoccuperait. En outre, il ne pouvait ignorer sa valeur au vu de son bon état. Il a donc délibérément enlevé le JEP qui était pris dans la pince du porte-bagage – il est en effet impossible, comme le soutient la première juge, qu’il ait pu tomber étant donné la manière dont il était coincé – et se l’est approprié – pour lui ou pour un tiers, peu importe. Les explications de l’intimé, selon lesquelles il trouvait « joli » de recouvrir le cadre du vélo d’une bande autocollante, imitation fibre de carbone, comme la carrosserie de sa moto, ne sont pas crédibles et démontrent plutôt sa volonté de dissimuler l’origine et la marque du cycle. Enfin, l’intimé reconnait qu’il n’était pas convaincu de pouvoir prendre le vélo en question de peur que [...] H.________ lui demande de le restituer (cf. jgmt, p.11), ce qui laisse comprendre qu’il a agi à tout le moins par dol éventuel. L’élément subjectif de l’infraction de vol est ainsi pleinement réalisé et X.________ doit être reconnu coupable de cette infraction. Les appels du Ministère public et de Y.________ doivent donc être admis sur ce point. 5. 5.1 Le Ministère public et la partie plaignante estiment qu’une peine pécuniaire de 90 jours-amende, à 30 fr. le jour, avec sursis pendant deux ans, constituerait une sanction adéquate. Il appartient à l’autorité de céans de l’apprécier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141 IV 61 consid. 6 ; TF 6B_55/2025 du 2 avril 2025 consid. 3.1). Le juge dispose d’un large pouvoir d’appréciation.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149 IV 217 consid. 1.1 ; ATF 144 IV 313 consid. 1.2 ; TF 6B_55/2025 précité). 5.2.2 5.2.2.1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 5.2.2.2 Le juge peut prononcer, en plus d’une peine avec sursis, une amende conformément à l’art. 106 CP (art. 42 al. 4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ATF 134 IV 60 consid. 7.3.1 ; TF 6B_1267/2023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 ATF 135 IV 188 consid. 3.4.4). Des exceptions sont possibles en cas de peines de faible importance pour éviter que la peine cumulée n'ait qu'une portée symbolique (ATF 135 IV 188 consid. 3.4.4 ; TF 6B_1267/2023 précité consid. 1.1.1 et les références citées). 5.3 En l’espèce, la culpabilité de X.________ est lourde. A charge, on retiendra sa profession de policier et le fait qu’il a agi durant ses heures de service, un soir où tous ses collègues étaient en intervention et qu’il patrouillait seul, qu’il a utilisé un véhicule de fonction, sans l’autorisation de ses supérieurs, et qu’il a pris possession d’un vélo faisant l’objet d’une procédure pénale pendante. Bien que l’envie de l’intimé d’éviter un potentiel énième gaspillage puisse être compréhensible en raison de ce que le vélo en question n’avait toujours pas retrouvé son propriétaire, sa manière de procéder démontre qu’il a fait passer son intérêt personnel avant toute autre considération, notamment le respect de la propriété et du droit. A décharge, on retiendra que, malgré une longue carrière au sein de la sécurité et de la police, l’intimé ne semble pas avoir fait l’objet d’enquête disciplinaire et de reproches significatifs de la part de sa hiérarchie (cf. notamment P. 46/12), l’absence d’antécédents à son casier judiciaire étant un élément neutre. Ainsi, c’est une peine pécuniaire de 90 jours-amende, à 30 fr. le jour au vu de sa situation financière, telle que proposée par le Parquet, qui sera prononcée. En l’absence de pronostic défavorable, cette sanction sera assortie d’un sursis de deux ans. Il sera renoncé au prononcé d’une amende à titre de sanction immédiate dès lors que le licenciement de l’intimé par la partie plaignante en juillet 2023 l’a conduit au chômage et qu’il souffre d’une maladie dégénérative grave pour laquelle une procédure AI est en cours.</w:t>
      </w:r>
    </w:p>
    <w:p>
      <w:r>
        <w:rPr>
          <w:b/>
        </w:rPr>
        <w:t>E. 6</w:t>
      </w:r>
    </w:p>
    <w:p>
      <w:r>
        <w:t>§ 1 CEDH (Convention européenne de sauvegarde des droits de l’homme et des libertés fondamentales du 4 novembre 1950 ; RS 0.101),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Lorsque que l'on peut discerner les motifs qui ont guidé la décision de l'autorité, le droit à une décision motivée est respecté, la motivation pouvant d'ailleurs être implicite et résulter des différents considérants de la décision (TF 7B_938/2024 du 31 mars 2025 consid.</w:t>
      </w:r>
    </w:p>
    <w:p>
      <w:r>
        <w:rPr>
          <w:b/>
        </w:rPr>
        <w:t>E. 6.1</w:t>
      </w:r>
    </w:p>
    <w:p>
      <w:r>
        <w:t>Y.________ conclut à ce que l’intimé soit reconnu débiteur d’un montant de 3'579 fr., correspondant à la valeur à neuf du vélo litigieux, ainsi que d’un montant de 36 fr. 40, correspondant au remboursement des kilomètres effectués avec le véhicule de service le 15 juin 2022 (52 km x 0.70 fr. le km), le tout avec intérêt à 5% l’an dès le 27 juin 2022.</w:t>
      </w:r>
    </w:p>
    <w:p>
      <w:r>
        <w:rPr>
          <w:b/>
        </w:rPr>
        <w:t>E. 6.2</w:t>
      </w:r>
    </w:p>
    <w:p>
      <w:r>
        <w:t>Conformément à l'art. 126 al. 1 let. a CPP, le tribunal statue sur les conclusions civiles présentées lorsqu'il rend un verdict de culpabilité à l'encontre du prévenu. Selon l'art. 126 al. 2 let. b CPP, le juge renvoie la partie plaignante à agir par la voie civile lorsque la partie plaignante n'a pas chiffré ses conclusions de manière suffisamment précise ou ne les a pas suffisamment motivées.</w:t>
      </w:r>
    </w:p>
    <w:p>
      <w:r>
        <w:rPr>
          <w:b/>
        </w:rPr>
        <w:t>E. 6.3</w:t>
      </w:r>
    </w:p>
    <w:p>
      <w:r>
        <w:t>En l’occurrence, la partie plaignante n’a pas motivé la raison qui justifierait de lui verser la valeur à neuf d’un vélo qui ne l’était plus et dont elle ne peut se prévaloir de la propriété. Partant, elle sera renvoyée à agir par la voie civile. Quant au remboursement des kilomètres, la conclusion est irrecevable, faute d’avoir été formulée en première instance (cf. art. 123 al. 2 et 331 al. 2 CPP).</w:t>
      </w:r>
    </w:p>
    <w:p>
      <w:r>
        <w:rPr>
          <w:b/>
        </w:rPr>
        <w:t>E. 7</w:t>
      </w:r>
    </w:p>
    <w:p>
      <w:r>
        <w:t>Dans la mesure où l’intimé est condamné, l’intégralité des frais de première instance, arrêtés à 12'456 fr. 80, doit être mise à sa charge, conformément à l’art. 426 al. 1 CPP. Ceux-ci comprennent l’indemnité due à son défenseur d’office, Me Loïc Parein, par 2'729 fr. 80. Dite indemnité devra être remboursée à l’Etat de Vaud dès que sa situation financière le permettra (art. 135 al. 4 CPP). En outre, aucune indemnité sous la forme de l’art. 429 CPP ne lui sera allouée.</w:t>
      </w:r>
    </w:p>
    <w:p>
      <w:r>
        <w:rPr>
          <w:b/>
        </w:rPr>
        <w:t>E. 8</w:t>
      </w:r>
    </w:p>
    <w:p>
      <w:r>
        <w:t>En conclusion, les appels du Ministère public et de Y.________ doivent être partiellement admis, il doit être pris acte du retrait de l’appel joint formé par Y.________ et le jugement entrepris doit être réformé dans le sens des considérants qui précède. Me Loïc Parein a produit une liste d’opérations faisant état de 6h21 d’activité d’avocat – hors audience d’appel d’une durée de deux heures et cinq minutes – dont il n’y a pas lieu de s’écarter. Son indemnité sera donc fixée à 1'518 fr., le tarif horaire étant de 180 fr. (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30 fr. 36, une vacation par 120 fr. et la TVA au taux de 8,1 % sur le tout, par 135 fr. 13. L’indemnité s’élève ainsi au total à 1'803 fr. 49. Quant à l’allocation d’une indemnité au sens de l’art. 433 CPP, requise par Y.________, il ne sera pas entré en matière sur celle-ci dès lors que la partie plaignante n’a ni chiffré, ni justifié ses prétentions. Vu l’issue de la cause, les frais d’appel, constitués des émoluments de jugement et d’audience, par 2’680 fr. (18 pages de jugement et 700 fr. d’audience ; art. 21 al. 1 et 2 TFIP), et de l’indemnité allouée au défenseur d’office, par 1'803 fr. 49, soit au total 4'483 fr. 49, seront mis à la charge de l’intimé, qui succombe (cf. art. 428 al. 1 CPP). L’intimé sera tenu de rembourser à l’Etat de Vaud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