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198 vom 28. November 2022</w:t>
      </w:r>
    </w:p>
    <w:p>
      <w:r>
        <w:t>VD Tribunal cantonal, 2022-11-28, FR</w:t>
      </w:r>
    </w:p>
    <w:p>
      <w:r>
        <w:rPr>
          <w:b/>
        </w:rPr>
        <w:t xml:space="preserve">Quelle: </w:t>
      </w:r>
      <w:r>
        <w:t>https://mcp.opencaselaw.ch/entscheid/vd_findinfo_Jug___2025___198</w:t>
      </w:r>
    </w:p>
    <w:p>
      <w:r>
        <w:t>FR: VD_FINDINFO Jug / 2025 / 198 du 28 novembre 2022</w:t>
      </w:r>
    </w:p>
    <w:p>
      <w:r>
        <w:t>IT: VD_FINDINFO Jug / 2025 / 198 del 28 novembre 2022</w:t>
      </w:r>
    </w:p>
    <w:p>
      <w:pPr>
        <w:pStyle w:val="Heading2"/>
      </w:pPr>
      <w:r>
        <w:t>Regeste</w:t>
      </w:r>
    </w:p>
    <w:p>
      <w:r>
        <w:t>CHEVAL, LOI FÉDÉRALE SUR LA PROTECTION DES ANIMAUX, NÉGLIGENCE, SURSIS À L'EXÉCUTION DE LA PEINE | 106 CP, 42 al. 1 CP, 42 al. 4 CP, 26 al. 2 LPA</w:t>
      </w:r>
    </w:p>
    <w:p>
      <w:pPr>
        <w:pStyle w:val="Heading2"/>
      </w:pPr>
      <w:r>
        <w:t>Erwägungen</w:t>
      </w:r>
    </w:p>
    <w:p>
      <w:r>
        <w:rPr>
          <w:b/>
        </w:rPr>
        <w:t>E. 1.1</w:t>
      </w:r>
    </w:p>
    <w:p>
      <w:r>
        <w:t>;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 e éd., Bâle 2019, n. 34 ad art. 10 CPP).</w:t>
      </w:r>
    </w:p>
    <w:p>
      <w:r>
        <w:rPr>
          <w:b/>
        </w:rPr>
        <w:t>E. 1.2</w:t>
      </w:r>
    </w:p>
    <w:p>
      <w:r>
        <w:t>En l’occurrence, le Tribunal fédéral a en substance considéré que la Cour de céans avait violé le droit d’être entendu et le droit à la confrontation de l’appelant en refusant d’offrir au moins une fois à celui-ci une occasion appropriée et suffisante de mettre les témoins en doute et de les interroger. Ainsi, la Cour de céans a ordonné la mise en œuvre d’une expertise, laquelle a été confiée au Dr Z.________ comme requis pas l’appelant, et a entendu les Drs T.________ et D.________ en qualité de témoins à l’audience d’appel. Il convient dès lors de statuer sur la présente cause à la lumière de ces nouveaux éléments de preuve.</w:t>
      </w:r>
    </w:p>
    <w:p>
      <w:r>
        <w:rPr>
          <w:b/>
        </w:rPr>
        <w:t>E. 2.1</w:t>
      </w:r>
    </w:p>
    <w:p>
      <w:r>
        <w:t>A titre de mesures d’instruction, l’appelant a conclu, principalement, à l’inexploitabilité des écris des Drs T.________ et D.________, du rapport du Tierspital de Zürich, de la dénonciation du vétérinaire cantonal ainsi que des déclarations du Ministère public du 21 février 2025. Il a en outre réitéré l’audition en qualité d’expert du Dr Z.________.</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2.2.2</w:t>
      </w:r>
    </w:p>
    <w:p>
      <w:r>
        <w:t>; TF 6B_732/2021 du 24 février 2022 consid. 2.2). Dans cette mesure, la présomption d'innocence se confond avec l'interdiction générale de l'arbitraire, prohibant une appréciation reposant sur des preuves inadéquates ou sans pertinence (ATF 146 IV 88 consid. 1.3.1 ; ATF 145 IV 154 consid.</w:t>
      </w:r>
    </w:p>
    <w:p>
      <w:r>
        <w:rPr>
          <w:b/>
        </w:rPr>
        <w:t>E. 2.3</w:t>
      </w:r>
    </w:p>
    <w:p>
      <w:r>
        <w:t>En l’espèce, les Drs T.________ et D.________ ont été entendus à l’audience d’appel. L’appelant a pu les interroger et ils ont en substance corroboré la teneur de leurs écrits, si bien qu’il ne se justifie pas de retrancher ceux-ci du dossier. L’appelant a eu l’occasion de s’exprimer avant que le vétérinaire cantonal ne dénonce son comportement aux autorités pénales, de sorte que la dénonciation de celui-ci ne doit pas être déclaré inexploitable. Il n’y a aucun motif pour retrancher le rapport du Tierspital de Zürich, qui constitue un moyen de preuve qui doit être apprécié, en particulier aux côtés de l’expertise conduite par le Dr Z.________ et dans le cadre de laquelle l’appelant a pu poser des questions. On relève en outre que l’appelant n’a pas requis d’être confronté au vétérinaire cantonal ni à l’auteur du rapport du Tierspital. S’agissant de l’audition de l’expert Z.________, l’appelant ne motive, ni n’expose en quoi cette mesure serait pertinente pour le sort de la cause. Par ailleurs, le rapport établi est suffisant et l’appelant a renoncé à un complément d’expertise. On ne voit non plus pas pour quel motif il se justifierait de retrancher les commentaires du Ministère public du 21 février 2025 et l’appelant ne l’explique pas. Les conditions de l’art. 389 al. 3 CPP n’étant pas réalisées, les mesures d’instruction requises qui n’ont pas été accordées, doivent donc être rejetées.</w:t>
      </w:r>
    </w:p>
    <w:p>
      <w:r>
        <w:rPr>
          <w:b/>
        </w:rPr>
        <w:t>E. 3.1</w:t>
      </w:r>
    </w:p>
    <w:p>
      <w:r>
        <w:t>L’appelant se plaint d’une mauvaise appréciation des faits et conteste sa condamnation pour infraction à la loi fédérale sur la protection des animaux. Il fait valoir que le premier juge aurait pris « pour argent comptant » les déclarations des dénonciateurs. Il soutient qu'il n'a plus été appelé « au chevet » de J.________ après le 19 juin 2020 et que d'autres vétérinaires se sont occupés du cheval par la suite. Il en déduit qu’il ne pouvait plus rien faire et que ce n'est donc pas de sa faute si l’animal a dû être euthanasié en octobre 2020, de sorte qu’il devait être acquitté. Il reproche finalement à l’autorité inférieure de ne pas avoir tenu compte de la volonté d’X.________, laquelle avait choisi de manière parfaitement consciente de faire soigner son cheval à l’aide de médecines complémentaires et l’avait ainsi mandaté dans ce but.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w:t>
      </w:r>
    </w:p>
    <w:p>
      <w:r>
        <w:rPr>
          <w:b/>
        </w:rPr>
        <w:t>E. 3.2.2</w:t>
      </w:r>
    </w:p>
    <w:p>
      <w:r>
        <w:t>Aux termes de l’art. 4 LPA (loi fédérale sur la protection des animaux du 16 décembre 2005 ; RS 455), toute personne qui s’occupe d’animaux doit tenir compte au mieux de leurs besoins (al. 1 let. a) ; veiller à leur bien-être dans la mesure où le but de leur utilisation le permet (al. 1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En vertu de l’art. 26 al. 1 let. a LPA, est puni d’une peine privative de liberté de trois ans au plus ou d’une peine pécuniaire quiconque, intentionnellement maltraite un animal, le néglige ou le surmène inutilement ou porte atteinte à sa dignité d’une autre manière. Selon l’al. 2, si l’auteur agit par négligence, il est puni d’une peine pécuniaire de 180 jours-amende au plus.</w:t>
      </w:r>
    </w:p>
    <w:p>
      <w:r>
        <w:rPr>
          <w:b/>
        </w:rPr>
        <w:t>E. 3.2.3</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3.3</w:t>
      </w:r>
    </w:p>
    <w:p>
      <w:r>
        <w:t>En l’espèce, les déclarations des Drs D.________ et T.________ à l’audience du 7 mai 2025 vont dans le même sens que leurs écrits, la dénonciation du vétérinaire cantonal et le rapport du Tierspital de Zurich, à savoir en substance une intervention inadaptée de l’appelant sur le cheval J.________. Malgré un avis parfois plus nuancé, l’expert Z.________ estime également que l’approche non conventionnelle pratiquée coûte que coûte par l’appelant, tant dans les examens que dans les traitements prescrits, a connu ses limites. Si l’approche de l’appelant, demandée par la propriétaire, pouvait encore se justifier en janvier 2020, elle nécessitait un suivi du cheval à courts intervalles, avec le cas échéant une nouvelle évaluation sur une approche conventionnelle, ce qu’il n’a pas fait. Dès juin 2020 et dès réception des résultats de l’analyse selon la méthode conventionnelle, l’expert retient qu’« un traitement multimodal au Pergolide combiné à d'autres médicaments et d'autres mesures complémentaires était indiqué » (cf. P. 51, R. 2b), L’appelant a refusé le Pergolide, alors qu’à dire d’expert ce médicament aurait effectivement atténué les effets du syndrome de Cushing. L’appelant a déclaré le 7 mai 2025 qu’il n’avait pas été question pour lui de remplacer la méthode classique par une autre méthode. Or, c’est précisément ce qu’il a fait, puisqu’il a utilisé l’homéopathie comme médecine alternative et non complémentaire, dans un cas où l’urgence recommandait un traitement allopathique. L’appelant s’occupait du cheval J.________ depuis deux ans, comme il l’a indiqué à l’audience du 9 mai 2023. Ses dénégations, qui arrivent pour la première fois à l’audience du 7 mai 2025, quant au fait qu’il n’aurait pas été le vétérinaire principal du cheval et qu’un autre vétérinaire était en charge ne sont pas convaincantes. Il est établi que dans le cadre de son suivi, l’appelant a fait appel au Dr T.________ au mois de juin 2020. Ce dernier lui a livré ses conclusions, confirmant que le cheval souffrait du syndrome de Cushing et qu’il convenait d’assurer une prise en charge médicale urgente selon la médecine traditionnelle, pour le bien-être de l’animal. L’expert a confirmé ce besoin et celui d’un suivi du cheval à courts intervalles afin de pouvoir réévaluer la situation. L’appelant n’a toutefois pas donné suite à ces conclusions, a contesté le diagnostic et a poursuivi son propre protocole sans tenir compte de l’avis de son confrère. L’expert retient également, sur la base de photographies prises le 30 septembre 2020, que le cheval présentait des signes de fourbure chronique depuis au minimum 6 mois, soit fin mars 2020. Or, l’appelant, ne considérant la fourbure que légère, ne lui a administré qu’un traitement homéopathique et n’a pas jugé nécessaire de revoir l’animal. L’argument de l’appelant selon lequel sa responsabilité ne serait pas engagée dans la mesure où il ne se serait plus occupé du cheval après juin 2020, est non seulement faux mais peu soutenable, dès lors que c’est bien son inaction, son manque de réaction et de suivi qui lui sont reprochés. L’appelant tente également de se dédouaner en se retranchant derrière la volonté de la propriétaire du cheval et le fait qu’il avait demandé à celle-ci de le contacter si l’animal souffrait trop, ce qu’elle n’aurait pas fait. X.________ a été entendue en qualité de témoin par le Ministère public (PV aud. 2). Elle a expliqué que l’appelant lui avait indiqué que le syndrome de Cushing ne semblait pas être la maladie en lien avec les symptômes de son cheval et que le sujet n'avait donc pas été approfondi. Elle a ajouté que le bien-être de son animal était primordial et que s'il y avait eu une chance de le sauver, elle aurait tout mis en œuvre pour le faire mais qu'elle n'avait pas souhaité d'acharnement thérapeutique (cf. jugement, p. 14). L'appelant ne le conteste pas et c’est dès lors son déni qui est encore une fois mis en lumière. Il n’a pas renseigné adéquatement la propriétaire et il ne peut se cacher derrière le fait qu’elle ne l’aurait pas contacté. D’une part, il aurait dû être proactif et surveiller l’évolution du cheval à court terme, comme l’a relevé l’expert. D’autre part, la propriétaire a effectivement essayé de contacter l’appelant en septembre 2020, en vain, et a dû se tourner vers la Dre [...]. Par ailleurs, on constate que dans ce cas, c’est bien plutôt la persistance de la médecine non conventionnelle qui a prolongé les souffrances de l’animal, ce qui ne correspondait pas à la volonté de la propriétaire, pour qui le bien-être du cheval primait. L’appelant ne peut dès lors invoquer cette volonté. Ainsi, de l'avis unanime de tous les intervenants, le bien-être de l'animal n'a pas été préservé et l’appelant en est responsable. Il a fait preuve d ’inaction, d’une absence de réaction, de carence dans les examens cliniques, d’un déni des pathologies existantes, puis d’une indifférence après avoir reçu l'avis du Dr T.________, qu’il avait pourtant lui-même mandaté. Il a persisté dans son approche en minimisant la gravité et l’urgence de la situation et en occultant les réels besoins de l’animal. Compte tenu de l’ensemble des éléments qui précèdent, la condamnation de l’appelant pour infraction à l'art. 26 LPA doit être confirmée. La négligence dans les soins apportés à l’animal n’étant toutefois pas intentionnelle, c’est l’alinéa 2 de la disposition qui s’applique.</w:t>
      </w:r>
    </w:p>
    <w:p>
      <w:r>
        <w:rPr>
          <w:b/>
        </w:rPr>
        <w:t>E. 4.1</w:t>
      </w:r>
    </w:p>
    <w:p>
      <w:r>
        <w:t>L'appelant critique la peine au motif qu’elle est aussi élevée que celle de l'ordonnance pénale du 13 septembre 2022 à laquelle il a fait opposition, qui retenait l'infraction intentionnelle. Il en déduit que la peine fixée correspond à une « reformatio in pejus ». Ensuite, il se réfère à de nombreux cas similaires au sien où une sanction plus légère avait été infligée sur la base de l'art. 26 LPA et se prévaut d’une violation de l’égalité de traitement.</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w:t>
      </w:r>
    </w:p>
    <w:p>
      <w:r>
        <w:rPr>
          <w:b/>
        </w:rPr>
        <w:t>E. 4.3</w:t>
      </w:r>
    </w:p>
    <w:p>
      <w:r>
        <w:t>En l’espèce, l’appelant perd de vue que l'interdiction de la reformatio in pejus ne s'applique pas à l'opposition contre une ordonnance pénale, de sorte que le grief est hors de propos. En outre, l'art. 26 al. 2 LPA, qui réprime l'infraction par négligence, prévoit une peine pécuniaire de 180 jours-amende au plus. La peine prononcée, de 50 jours-amende, se trouve donc dans le tiers inférieur de l'éventail légal, ce que l’appelant semble méconnaître. Par ailleurs, la culpabilité de l'appelant est lourde. Son déni massif, après avoir lui-même sollicité un avis de tiers qu'il n'a pas daigné suivre, son obstination dans un diagnostic erroné, puis son inaction indifférente au sort du cheval dont il tente encore en appel de faire un motif exculpatoire sont autant d'éléments à charge, puisqu'il était facile de traiter correctement l'animal sur la base des informations disponibles. Enfin, la comparaison avec d'autres états de fait est toujours vaine, tant la peine doit être individualisée en fonction des circonstances du cas d'espèce et de la culpabilité de chaque auteur. La comparaison à laquelle se livre l'appelant est donc stérile. Il apparaît au contraire que la peine prononcée est adéquate et doit être confirmée. 5. En définitive, l’appel doit être rejeté et le jugement entrepris intégralement confirmé. Vu le sort de l’appel, il ne sera alloué aucune indemnité à I.________. Les frais de la première procédure d'appel, par 1’610 fr., comprenant l’émolument de jugement et d’audience (art. 21 al. 1 et 2 TFIP), seront mis à la charge de I.________, qui succombe (art. 428 al. 1 CPP). Les frais de la deuxième procédure d'appel, constitués des émoluments de jugement, par 2’090 fr., d'audience, par 700 fr. et de ceux relatifs à l'ordonnance de mise en œuvre de l'expertise du 1 er octobre 2024, par 360 fr., ainsi que des frais liés à cette expertise, par 4'800 fr. (cf. art. 422 al. 1 et 2 CPP), soit au total 7'950 fr., seront laissés à la charge de l'Etat.</w:t>
      </w:r>
    </w:p>
    <w:p>
      <w:r>
        <w:rPr>
          <w:b/>
        </w:rPr>
        <w:t>E. 7</w:t>
      </w:r>
    </w:p>
    <w:p>
      <w:r>
        <w:t>février 2022 consid. 1.1). Dans le contexte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consid. 2 ; TF 6B_334/2009 du 20 juillet 2007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