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197 vom 5. September 2024</w:t>
      </w:r>
    </w:p>
    <w:p>
      <w:r>
        <w:t>VD Tribunal cantonal, 2024-09-05, FR</w:t>
      </w:r>
    </w:p>
    <w:p>
      <w:r>
        <w:rPr>
          <w:b/>
        </w:rPr>
        <w:t xml:space="preserve">Quelle: </w:t>
      </w:r>
      <w:r>
        <w:t>https://mcp.opencaselaw.ch/entscheid/vd_findinfo_Jug___2025___197</w:t>
      </w:r>
    </w:p>
    <w:p>
      <w:r>
        <w:t>FR: VD_FINDINFO Jug / 2025 / 197 du 5 septembre 2024</w:t>
      </w:r>
    </w:p>
    <w:p>
      <w:r>
        <w:t>IT: VD_FINDINFO Jug / 2025 / 197 del 5 settembre 2024</w:t>
      </w:r>
    </w:p>
    <w:p>
      <w:pPr>
        <w:pStyle w:val="Heading2"/>
      </w:pPr>
      <w:r>
        <w:t>Regeste</w:t>
      </w:r>
    </w:p>
    <w:p>
      <w:r>
        <w:t>AGRESSION, LÉSION CORPORELLE SIMPLE, CIRCULATION ROUTIÈRE{DROIT DE LA CIRCULATION ROUTIÈRE}, REJET DE LA DEMANDE, DROIT PÉNAL DES MINEURS | 123 ch. 1 CP, 134 CP, 90 al. 2 LCR, 95 al. 1 let. a LCR, 96 ch. 2 LCR</w:t>
      </w:r>
    </w:p>
    <w:p>
      <w:pPr>
        <w:pStyle w:val="Heading2"/>
      </w:pPr>
      <w:r>
        <w:t>Erwägungen</w:t>
      </w:r>
    </w:p>
    <w:p>
      <w:r>
        <w:rPr>
          <w:b/>
        </w:rPr>
        <w:t>E. 1</w:t>
      </w:r>
    </w:p>
    <w:p>
      <w:r>
        <w:t>Interjeté dans les formes et délais légaux (art. 385 et 399 CPP [Code de procédure pénale suisse du 5 octobre 2007 ; RS 312.0], applicables par renvoi de l’art. 3 al. 1 PPMin [loi fédérale sur la procédure pénale applicable aux mineurs du 20 mars 2009 ; RS 312.1]),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2.2</w:t>
      </w:r>
    </w:p>
    <w:p>
      <w:r>
        <w:t>; ATF 146 IV 88 consid. 1.3.1 ; TF 6B_61/2024 du 16 janvier 2025 consid. 2.1.2).</w:t>
      </w:r>
    </w:p>
    <w:p>
      <w:r>
        <w:rPr>
          <w:b/>
        </w:rPr>
        <w:t>E. 2.3</w:t>
      </w:r>
    </w:p>
    <w:p>
      <w:r>
        <w:t>doivent être tenus pour établis. L’appelant ne contestant pas leur qualification juridique, il peut être renvoyé au jugement entrepris à cet égard (p. 14). La condamnation de l’appelant pour violation grave des règles de la circulation routière, conduite d'un véhicule automobile sans être titulaire du permis de conduire requis et conduite d'un véhicule automobile non couvert par une assurance-responsabilité civile est confirmée.</w:t>
      </w:r>
    </w:p>
    <w:p>
      <w:r>
        <w:rPr>
          <w:b/>
        </w:rPr>
        <w:t>E. 3.1</w:t>
      </w:r>
    </w:p>
    <w:p>
      <w:r>
        <w:t>Se fondant sur son doit à la confrontation, l’appelant a requis les auditions de W.________ et Q.________. Invoquant l’art. 20 al. 2 PPMin, il a également requis que les plaignants ne soient pas autorisés à participer aux débats d’appel.</w:t>
      </w:r>
    </w:p>
    <w:p>
      <w:r>
        <w:rPr>
          <w:b/>
        </w:rPr>
        <w:t>E. 3.2.1</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3.2.2</w:t>
      </w:r>
    </w:p>
    <w:p>
      <w:r>
        <w:t>Selon l'art. 6 par. 3 let. d CEDH (Convention de sauvegarde des droits de l’homme et des libertés fondamentales du 4 novembre 1950 ; 0.101),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2.1). Il s'agit de l'un des aspects du droit à un procès équitable institué à l'art. 6 par.1 CEDH. En tant qu'elle concrétise le droit d'être entendu (art. 29 al. 2 Cst.), cette exigence est également garantie par l'art. 32 al. 2 Cst. (ATF 148 I 295 consid. 2.1 ; ATF 144 II 427 consid. 3.1.2 ; TF 7B_614/2024 du 5 novembre 2024 consid. 3.2 et la référence citée). Ce droit est absolu lorsque la déposition du témoin en cause est d'une importance décisive, notamment lorsqu'il est le seul témoin ou que sa déposition constitue une preuve essentielle (ATF 131 I 476 consid. 2.2 ; TF 6B_1098/2023 du 18 avril 2024 consid. 1.1 et la référence citée).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148 I 295 consid. 2.2 et 2.3 et les références citées ; ATF 131 I 476 consid. 2.2).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(TF 6B_893/2023 du 26 février 2024 consid. 5.2.1).</w:t>
      </w:r>
    </w:p>
    <w:p>
      <w:r>
        <w:rPr>
          <w:b/>
        </w:rPr>
        <w:t>E. 3.2.3</w:t>
      </w:r>
    </w:p>
    <w:p>
      <w:r>
        <w:t>Conformément à l’art. 20 al. 2 PPMin, la partie plaignante ne participe pas aux débats, sauf si des circonstances particulières l’exigent. Cette norme, qui déroge à celles réglant l'intervention de la partie plaignante dans la procédure de jugement applicable aux majeurs (cf. art. 122 et 123 CPP), n'est cependant pas absolue puisqu'elle réserve elle-même les circonstances particulières. Par ailleurs, cette exclusion n'est qu'une conséquence du principe du huis clos prévu par l'art. 14 PPMin. Cette disposition tend principalement à protéger le prévenu dans sa personnalité en lui épargnant la publicité d'un jugement pénal (et non à écarter purement et simplement la partie plaignante de toute audience ; TF 6B_1410/2019 du 17 juin 2020 consid. 2.5). La pratique est extrêmement restrictive quant aux « circonstances particulières » qui pourraient exiger la participation du plaignant (Parein/Rutschmann, in : Queloz (édit.), Commentaire Droit pénal et justice des mineurs en Suisse, Zurich 2023, n° 168 ad art. 20 PPMin).</w:t>
      </w:r>
    </w:p>
    <w:p>
      <w:r>
        <w:rPr>
          <w:b/>
        </w:rPr>
        <w:t>E. 3.3</w:t>
      </w:r>
    </w:p>
    <w:p>
      <w:r>
        <w:t>La réquisition de preuve tendant à l’audition contradictoire de W.________ a été mise en œuvre, celui-ci ayant été auditionné lors des débats d’appel. En revanche, le témoignage de Q.________ est sans pertinence s’agissant des faits du 26 mars 2022, ce dernier n’ayant fourni aucune explication à leur égard. Son audition contradictoire étant ainsi inutile, cette réquisition doit être rejetée. S’agissant de la réquisition tendant à ce qu’E.________ et H.________ ne puissent pas participer aux débats d’appel, ceux-ci ont déjà été entendus en cours de procédure et leurs témoignages ne sont pas les uniques moyens de preuves sur lesquels se fondent les chefs d’accusation à l’encontre de l’appelant. Il n’existe ainsi pas de circonstances particulières qui pousseraient à contrevenir à la règle de l’art. 20 al. 2 PPMin. Cette réquisition doit être admise.</w:t>
      </w:r>
    </w:p>
    <w:p>
      <w:r>
        <w:rPr>
          <w:b/>
        </w:rPr>
        <w:t>E. 4.1</w:t>
      </w:r>
    </w:p>
    <w:p>
      <w:r>
        <w:t>L’appelant invoque une violation du principe de la présomption d’innocence en lien avec le cas 2.1. Il conteste toute similitude entre les faits survenus le 26 mars et le 6 mai 2022 et relève que les éléments sont insuffisants pour établir sa culpabilité. Il reproche à l'autorité de première instance d’avoir écarté les témoignages de Z.________ et de L.________, et de s’être fondée sur les déclarations d’E.________, qu’il estime incohérentes.</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w:t>
      </w:r>
    </w:p>
    <w:p>
      <w:r>
        <w:rPr>
          <w:b/>
        </w:rPr>
        <w:t>E. 4.2.2</w:t>
      </w:r>
    </w:p>
    <w:p>
      <w:r>
        <w:t>ci-dessus.</w:t>
      </w:r>
    </w:p>
    <w:p>
      <w:r>
        <w:rPr>
          <w:b/>
        </w:rPr>
        <w:t>E. 4.2.3</w:t>
      </w:r>
    </w:p>
    <w:p>
      <w:r>
        <w:t>À teneur de l'art. 140 ch. 1 al. 1 aCP, continuant de trouver application dans la mesure où sa version entrée en vigueur au 1 er juillet 2023 n’est pas plus favorable à l’appelant,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il suffit que l'auteur ait recouru aux moyens indiqués et que le vol ait été consommé (ATF 133 IV 207 consid. 4.3.1). Cela suppose que la violence ait une certaine intensité, propre à faire céder la victime; lui prendre simplement le bras ne suffit pas (ATF 133 IV 207 consid. 4.3.2 ; TF 6B_1371/2023 du 7 novembre 2024 consid 2.1 et les références citées). D'un point de vue subjectif, l'infraction de brigandage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4.3.3). Le brigandage est une infraction intentionnelle, le dol éventuel étant suffisant (ATF 133 IV 207 consid. 4.3.3 ; TF 6B_1371/2023 précité consid 2.1 et les références citées).</w:t>
      </w:r>
    </w:p>
    <w:p>
      <w:r>
        <w:rPr>
          <w:b/>
        </w:rPr>
        <w:t>E. 4.3</w:t>
      </w:r>
    </w:p>
    <w:p>
      <w:r>
        <w:t>En l’espèce, l’appelant n’est pas crédible dans ses déclarations. Son attitude a été la même s’agissant des trois cas qui font l’objet du présent jugement, soit de contester en bloc les accusations lors de sa première audition, puis d’adapter sa version des faits en fonction des éléments probatoires qui lui étaient présentés. Ce comportement a été le plus flagrant s’agissant du cas 2.2. Il a tout d’abord nié l’existence même d’une altercation, puis, après avoir été confronté aux images de vidéosurveillance, a reconnu avoir frappé H.________ avec ses deux comparses et avoir utilisé des armes. Pour le cas 2.1, il a tout d’abord contesté avoir contacté des amis pour qu’ils viennent agresser le plaignant à la sortie des cours, puis, interrogé sur les déclarations de W.________, a confirmé avoir envoyé un message à des amis indiquant qu’il avait eu une altercation avec le plaignant (PV aud. 2 et 13). Ses explications pour justifier l’absence de toute application de messagerie sur son téléphone lors de son audition par la police le 7 avril 2022 ont également varié. Lors de cette audition, après que son attention ait été attirée sur ce fait par les agents de police, il s’est contenté de répondre « Ok, l’informatique évolue » (PV aud. 2). Lors des débats de première instance et d’appel, il a cette fois prétendu que son téléphone était vieux et se réinitialisait après chaque mise à jour, ce qui avait pour effet de supprimer toutes les applications (PV aud. 13 ; p. 4 supra). Outre les variations observées ci-dessus, la version des faits soutenue par l’appelant est invraisemblable à plusieurs égards. Tout d’abord, il n’est pas crédible qu’il ne télécharge pas à nouveau la moindre application de messagerie après avoir mis à jour son téléphone, alors qu’il ressort de ses déclarations qu’il utilise Snapchat pour communiquer (PV aud. 9). De plus, il a reconnu avoir dit au plaignant qu’ils devaient terminer leur conversation dehors, mais a affirmé que, une fois dehors, il s’était contenté de faire une accolade à ce dernier afin de lui signifier que leur litige était enterré. Il ne fait aucun sens de demander au plaignant de sortir du bâtiment pour simplement lui faire une accolade. L’appelant a encore déclaré être parti en courant à la vue des hommes cagoulés et a reconnu n’être jamais revenu sur ses pas afin de s’enquérir de l’état d’E.________, alors qu’il aurait vu les hommes en question prendre la fuite dans une autre direction (PV aud. 10 ; p. 4 supra). S’il n’avait effectivement rien à voir avec ces faits, on peine à comprendre pourquoi l’appelant ne serait pas revenu en arrière afin de chercher des explications sur l’agression à laquelle il venait d’assister après avoir constaté que les auteurs étaient partis. Pour finir s’agissant de la crédibilité de l’appelant, le rapport de l’expertise psychiatrique à laquelle celui-ci s’est soumis en cours d’enquête relève notamment chez lui une légère tendance à la manipulation ainsi qu’à une absence de remords (P. 55, p. 21). Il n’y a pas de raison de douter des déclarations du plaignant. Les variations de son discours relevées par l’appelant, à propos du nombre d’agresseurs ainsi que de la façon exacte dont l’appelant l’avait saisi, ne sont pas de nature à faire changer ce constat. S’agissant du nombre d’agresseurs, qui a varié entre 3 et 5, il est parfaitement compréhensible que la victime d’une agression puisse ne pas réaliser sous le stress combien de personnes sont en train de s’en prendre à elle. Pour ce qui est de la façon dont l’appelant a attrapé le plaignant, au pull ou à la veste, il s’agit d’un élément de détail sans importance. Au demeurant, de nombreux éléments probatoires confirment l’implication de l’appelant dans l’agression. Pour commencer, il a reconnu avoir une altercation verbale avec le plaignant pour un motif futile et être sorti avec lui à la fin des cours car « il fallait bien sortir pour discuter » (PV aud. 2). Or, la présence fortuite d’un groupe d’hommes cagoulés devant l’entrée du gymnase précisément au moment où l’appelant et E.________ sortaient pour « discuter », une heure et demie après leur altercation verbale, apparaît hautement improbable. En outre, lors de sa première audition, W.________ a déclaré que l’appelant avait envoyé des messages dans un groupe Snapchat, dans lequel se trouvaient également deux autres personnes, disant qu’il s’était « embrouillé » avec un garçon et qu’il allait le voir à la sortie (PV aud. 8). Bien que W.________ ait déclaré lors de son audition aux débats d’appel ne pas se souvenir si le message envoyé par l’appelant mentionnait qu’il allait voir le plaignant à la sortie, le témoin n’a pas pour autant soutenu qu’il se serait trompé dans ses premières déclarations. Il convient ainsi de retenir pour véridiques ses premières déclarations, recueillies seulement un mois et demi après les faits. Il en ressort qu’il y avait bien chez l’appelant une intention de confrontation avec le plaignant. En outre, comme l’ont relevé les premiers juges, il existe de solides similitudes entre les faits du cas 2.1 et ceux du cas 2.2. En particulier, W.________ et Q.________ ont reconnu avoir utilisé respectivement un spray au poivre et une hachette lors de l’agression de H.________. Or, pour le présent cas, l’un des hommes cagoulés a fait usage d’un spray au poivre et un autre tenait une hachette. A cet égard, il ressort du rapport d’investigation du 7 septembre 2022, que les hachettes ne ressortent « quasiment jamais » dans les agressions qui sont signalées à la police (P. 54). Enfin, deux cagoules ont été retrouvées lors de la perquisition effectuée au domicile de l’appelant. Les témoignages de Z.________ et L.________ ne sont d’aucun secours à l’appelant. Les déclarations de Z.________ ne sont pas fiables, car en contradiction avec des éléments non contestés sur des points essentiels. En effet, le témoin a dit n’avoir pas vu l’appelant sortir et n’avoir vu personne d’autre que les agresseurs partir en courant (PV aud. 11), alors que l’appelant a reconnu avoir été présent devant le gymnase, avoir fait une accolade à E.________ et être parti en courant. En outre, le témoin se souvenait uniquement que l’un des trois agresseurs avait un foulard remonté sur le visage et ne pouvait pas dire si les deux autres étaient cagoulés, alors qu’il ressort des déclarations de l’appelant, du plaignant et de L.________ que tous les agresseurs étaient cagoulés. Pour sa part, bien qu’elle ait déclaré qu’il lui semblait que l’appelant n’avait « pas fait grand-chose durant l’agression », L.________ a tout de même déclaré l’avoir vu avec les agresseurs lorsqu’elle est sortie du bâtiment et qu’il était selon elle évident qu’il se trouvait du côté de ces personnes pendant l’agression (PV aud. 12). Au vu de ce qui précède, il convient de retenir pour établis les faits tels qu’ils ressortent du chiffre 2.1. L’appelant ne conteste pas la qualification juridique de ces faits. Toutefois, en application de l’art. 404 al. 2 CPP (applicable par renvoi de l’art. 3 al. 1 PPMin), ce point sera revu d’office. En effet, il ressort des déclarations du plaignant que son sac n’a pas été volé par l’appelant mais par l’un des hommes cagoulés et aucun élément au dossier ne permet de penser que l’appelant avait convenu avec ses comparses de voler le sac du plaignant. Le vol ne pouvant être imputé à l’appelant, les conditions d’application de l’art. 140 CP ne sont pas réunies. En revanche, les actes de l’appelant remplissent les éléments constitutifs de l’agression au sens de l’art. 134 CP. Celui-ci a été informé aux débats d’appel que la Cour de céans envisageait d’appliquer cette disposition, conformément à l’art. 344 CPP. L’appelant et ses acolytes s’en sont pris unilatéralement à E.________, sans aucune provocation de la part de ce dernier, qui ne s’est au demeurant pas défendu. De plus, un jet de spray au poivre dans les yeux ayant pour effet de provoquer une douleur aigue à la cible, les blessures occasionnées au plaignant doivent être qualifiées de lésions corporelles simples. Sur le plan subjectif, l’appelant avait l’intention de participer à une agression, puisqu’il a fait appel à des amis pour qu’ils viennent le rejoindre à la fin de ses cours dans le but de s’en prendre ensemble au plaignant. Ainsi, s’agissant du cas 2.1, F.________ doit être reconnu coupable d’agression.</w:t>
      </w:r>
    </w:p>
    <w:p>
      <w:r>
        <w:rPr>
          <w:b/>
        </w:rPr>
        <w:t>E. 5.1</w:t>
      </w:r>
    </w:p>
    <w:p>
      <w:r>
        <w:t>L’appelant conteste sa condamnation pour les faits en lien avec le chiffre 2.3. Ce serait à tort que le Tribunal des mineurs a retenu que ses déclarations n’étaient pas crédibles car elles avaient été fluctuantes en cours d’enquête. Il n’y aurait pas non plus lieu de s’appuyer sur son identification par les agents de police, ceux-ci l’ayant selon lui confondu avec une autre personne.</w:t>
      </w:r>
    </w:p>
    <w:p>
      <w:r>
        <w:rPr>
          <w:b/>
        </w:rPr>
        <w:t>E. 5.2</w:t>
      </w:r>
    </w:p>
    <w:p>
      <w:r>
        <w:t>Les principes relatifs à la présomption d’innocence et à l’appréciation des preuves ont été rappelé au considérant 4.2.1 ci-dessus.</w:t>
      </w:r>
    </w:p>
    <w:p>
      <w:r>
        <w:rPr>
          <w:b/>
        </w:rPr>
        <w:t>E. 5.3</w:t>
      </w:r>
    </w:p>
    <w:p>
      <w:r>
        <w:t>En l’espèce, il ressort du rapport de police du 1 er septembre 2023 que, le 21 juillet 2023, une course poursuite a eu lieu entre une personne sur un scooter et deux policiers. Les agents ont pu arrêter le conducteur et, sans l'entraver au moyen de menottes, l'ont placé contre un mur, afin de procéder aux contrôles. L'intéressé a déclaré qu'il n'était pas en possession de document d'identité et a dit se nommer [...]. Il a profité que les agents aient été occupés à contrôler son identité pour partir en courant, parvenant à semer ces derniers. Le scooter a été pris en charge par une dépanneuse et mis provisoirement en fourrière. Le 26 juillet 2023, lors d'une patrouille motorisée dans le même secteur, un individu correspondant au conducteur qui avait pris la fuite a été repéré en compagnie d'un automobiliste. L’individu en question avait cependant quitté les lieux une fois que les agents de police étaient revenus en arrière après avoir fait demi-tour. L'automobiliste a été interpellé et a refusé de décliner l'identité de la personne qui l’accompagnait. Des recherches effectuées dans les bases de données de la police ont toutefois révélé que l'automobiliste se trouvait régulièrement avec l’appelant, lequel correspondait au signalement de l'individu ayant pris la fuite le 21 juillet précédent. En parallèle, le dernier détenteur du scooter piloté lors de la course-poursuite a été contacté par la police. Il a confirmé avoir fait don de son scooter à F.________ et a transmis la photocopie du passeport de ce dernier. Il a également transmis une capture d’écran confirmant que le scooter avait été donné, sur laquelle figurait le numéro de téléphone de l’acquéreur. Au regard de ces éléments, la police a convoqué l’appelant pour une audition le 27 juillet 2023. Lors de cette audition, l’appelant a été formellement reconnu et identifié par les deux policiers impliqués dans la course-poursuite du 21 juillet 2023, soit les appointés [...] et [...], comme étant l'homme qui avait pris la fuite (P. 18). Les agents qui ont identifié l’appelant n’ont aucune raison de le mettre faussement en cause de façon. Il n'y a pas non plus de raison de penser qu’ils auraient pu le confondre avec quelqu’un d’autre, puisqu’ils ont eu l’opportunité de voir son visage de près au moment de l’interpellation. En outre, son identification a eu lieu seulement six jours après la course-poursuite, son visage devait ainsi être encore clair dans la mémoire des agents. L’appelant n’est pas crédible dans ses déclarations, qui ont une nouvelle fois évolué au fil de l’instruction. Ainsi, lors de son audition du 7 décembre 2023, il a déclaré avoir amené le scooter chez un mécanicien pour voir dans quel état il se trouvait (PV aud. 2, dossier joint). Aux débats de première instance, il a tout d’abord déclaré n’avoir pas fait examiner le scooter par un mécanicien. Lorsque sa contradiction a été relevée, il a déclaré avoir amené le scooter chez un ami mécanicien de W.________, sans toutefois daigner en donner le nom (PV aud. 13). L’appelant n’a pas non plus été en mesure de donner le nom de la personne à qui il soutient avoir vendu le scooter. Bien que l’identification de cette personne aurait pu permettre de disculper l’appelant, celui-ci a reconnu ne pas avoir entrepris la moindre démarche pour la retrouver, alors qu’elle habiterait dans le même quartier que lui et qu’il l’aurait vue au moins à une reprise depuis lors. Il peut encore être relevé que l’appelant a fait l’objet par le passé d’une condamnation pour conduite d’un cyclomoteur léger sans être titulaire du permis de conduire requis. Au regard des éléments précités, les faits tels qu’ils ressortent du chiffre</w:t>
      </w:r>
    </w:p>
    <w:p>
      <w:r>
        <w:rPr>
          <w:b/>
        </w:rPr>
        <w:t>E. 6.1</w:t>
      </w:r>
    </w:p>
    <w:p>
      <w:r>
        <w:t>L’appelant invoque une violation de l’art. 134 CP et une constatation inexacte des faits en lien avec le cas 2.2. Il ne serait pas possible de considérer que le groupe d’amis de H.________ serait resté passif, puisque la situation aurait dégénéré après qu’un membre de son groupe aurait craché sur Q.________. Il devrait ainsi être constaté que H.________ et son groupe d’amis n’ont pas uniquement cherché à se défendre, mais auraient provoqué la bagarre.</w:t>
      </w:r>
    </w:p>
    <w:p>
      <w:r>
        <w:rPr>
          <w:b/>
        </w:rPr>
        <w:t>E. 6.2</w:t>
      </w:r>
    </w:p>
    <w:p>
      <w:r>
        <w:t>Les principes relatifs à l’art. 134 CP ont été rappelé au considérant</w:t>
      </w:r>
    </w:p>
    <w:p>
      <w:r>
        <w:rPr>
          <w:b/>
        </w:rPr>
        <w:t>E. 6.3</w:t>
      </w:r>
    </w:p>
    <w:p>
      <w:r>
        <w:t>Contrairement à l'appréciation de l’appelant, on doit admettre qu’il s’est rendu coupable d’agression. Les faits doivent être analysés en deux périodes différentes : avant et après que l’appelant, W.________ et Q.________ aient sorti leurs armes. Si avant ce point on peut admettre que le groupe dont faisait partie H.________ avait adopté une attitude active et semblait également chercher le conflit, tous ont pris la fuite dès le moment où ils ont aperçu les armes que portaient l’appelant et ses deux comparses. Dès cet instant il n’existait plus de danger pour ces derniers et ils avaient la possibilité de partir sans aucun risque. Ils ont cependant fait le choix de poursuivre l’un des membres du groupe adverse sur plusieurs centaines de mètres, de profiter qu’il soit tombé pour le frapper, de le poursuivre une nouvelle fois après qu’il ait réussi à se relever, de le faire à nouveau tomber en lui faisant un balayette, de le gazer et de le rouer de coups de pieds et de hachette. Pendant toute cette poursuite H.________ ne s’est à aucun moment montré agressif, n’a frappé personne et a uniquement tenté de fuir sans chercher à se défendre. Les blessures qu’il a subies, consistant en une entaille de huit centimètres sur l’épaule gauche ainsi que des éraflures et douleurs en différents endroits sont constitutives de lésions corporelles simples. Sur le plan subjectif, l’appelant avait assurément réalisé que le plaignant ne se défendait pas et avait ainsi l’intention de participer à une agression. En outre, la mise en danger a manifestement dépassé en intensité les lésions subies par le plaignant. Le fait d’asséner des coups de poings et de pieds sur le haut du corps d’une personne se trouvant à terre, et de la frapper avec une hache à l’épaule ainsi qu’à la tête (même si le coup a été retenu) est susceptible de causer des lésions corporelles graves, voire même la mort. Les lésions corporelles simples entrent donc en concours idéal avec l’agression. Partant, la condamnation de l’appelant pour agression et lésions corporelles simples doit être confirmée.</w:t>
      </w:r>
    </w:p>
    <w:p>
      <w:r>
        <w:rPr>
          <w:b/>
        </w:rPr>
        <w:t>E. 7.1</w:t>
      </w:r>
    </w:p>
    <w:p>
      <w:r>
        <w:t>L’appelant conteste la peine qui lui a été infligée. Une peine privative de liberté de 120 jours serait disproportionnée au vu de sa culpabilité. Il conviendrait de tenir compte à décharge du temps qui s’est écoulé depuis les faits et de son évolution positive.</w:t>
      </w:r>
    </w:p>
    <w:p>
      <w:r>
        <w:rPr>
          <w:b/>
        </w:rPr>
        <w:t>E. 7.2.1</w:t>
      </w:r>
    </w:p>
    <w:p>
      <w:r>
        <w:t>Selon l’art. 47 CP (applicable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w:t>
      </w:r>
    </w:p>
    <w:p>
      <w:r>
        <w:rPr>
          <w:b/>
        </w:rPr>
        <w:t>E. 7.2.2</w:t>
      </w:r>
    </w:p>
    <w:p>
      <w:r>
        <w:t>Le système des sanctions applicables aux mineurs est réglementé par les art. 21 à 35 DPMin. Aux termes de l'art. 11 DPMin, si le mineur a agi de manière coupable, l'autorité de jugement prononce une peine, en plus d'une mesure de protection ou comme seule mesure. L'art. 21 DPMin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 L’art. 34 al. 1 DPMin utilisant la notion de « peines de même genre », qui se retrouve à l’art. 49 al. 1 CP, la jurisprudence rendue par le Tribunal fédéral pour le prononcé d’une peine d’ensemble trouve également application en justice des mineurs (ATF 144 IV 217 consid. 3.5, JdT 2018 IV 335 ; Queloz, in : Queloz (édit.), Droit pénal est justice des mineurs en Suisse, 2 e éd., Zurich 2023, n° 389 ad art. 34 DPMin).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w:t>
      </w:r>
    </w:p>
    <w:p>
      <w:r>
        <w:rPr>
          <w:b/>
        </w:rPr>
        <w:t>E. 7.2.3</w:t>
      </w:r>
    </w:p>
    <w:p>
      <w:r>
        <w:t>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différence que, chez les adultes, l'art. 42 CP pose en outre comme condition qu'il existe des circonstances particulièrement favorables si l'auteur a déjà été condamné, durant les cinq ans qui précèdent l'infraction, à une peine privative de liberté ferme ou avec sursis de plus de six mois (art. 42 al. 2 CP ; TF 6B_1112/2022 du 26 octobre 2022 consid. 1.1 et les références citées). Lorsque la peine privative de liberté est d'une durée telle qu'elle permette le choix entre le sursis complet et le sursis partiel, le sursis total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de sérieux doutes sur les perspectives d'amendement de l'auteur, notamment en raison de condamnations antérieures,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(ATF 134 IV 1 consid. 5.5.2 ; TF 6B_1112/2022 précité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6B_1112/2022 précité consid. 1.1 et les références citées).</w:t>
      </w:r>
    </w:p>
    <w:p>
      <w:r>
        <w:rPr>
          <w:b/>
        </w:rPr>
        <w:t>E. 7.3</w:t>
      </w:r>
    </w:p>
    <w:p>
      <w:r>
        <w:t>La culpabilité de l’appelant est lourde. Il s’en est pris à l’intégrité physique de tiers pour des raisons futiles. Il n’a pas fait montre du moindre remord. Sa prise de conscience est inexistante, puisqu’il persiste à nier l’évidence s’agissant des cas 2.1 et 2.3, malgré l’accumulation de preuves contre lui. Il s’est rendu coupable des faits relatifs au cas 2.2 moins d’un mois après une précédente condamnation par le Tribunal des mineurs. Il s’est rendu coupable des faits relatifs au cas 2.3 alors que l’instruction pénale était déjà ouverte à son encontre pour les cas 2.1 et 2.2, et qu’il avait effectué un long séjour en détention provisoire. Il a une nouvelle fois récidivé alors que la présente procédure n’était pas achevée, puisqu’il a fait l’objet d’une condamnation par ordonnance pénale du 13 février 2025. A décharge, il convient de tenir compte de son jeune âge au moment des faits, de l’ancienneté des faits, de la réussite probable de ses études et de sa situation familiale compliquée, son père n’étant pas impliqué dans sa vie et ses grands-parents maternels vivant dans une zone de conflit. Au vu de ce qui précède, l’appelant ayant agi de manière coupable, il y a lieu de lui infliger une peine (art. 11 DPMin). Au vu de sa culpabilité et de la gravité des faits, c’est une peine privative de liberté qui doit être prononcée pour toutes les infractions (art. 25 al. 1 DPMin). L’agression est l’infraction la plus grave. Elle doit être sanctionnée par une peine privative de liberté de 30 jours pour chaque agression. La peine doit être augmentée de 15 jours pour les lésions corporelles simples, 15 jours pour la violation grave des règles de la circulation routière, 15 jours pour la conduite d’un véhicule automobile sans être titulaire du permis de conduire requis et 15 jours pour la conduite d’un véhicule automobile non couvert par une assurance-responsabilité civile. C’est ainsi une peine privative de liberté d’ensemble de 120 jours qui doit être prononcée à l’encontre de l’appelant. Malgré son absence de prise de conscience ainsi que sa nouvelle condamnation par ordonnance pénale, le pronostic n’est pas résolument défavorable, si bien qu’il convient de confirmer le sursis avec un délai d’épreuve d’un an. Les premiers juges ont renoncé à statuer sur le sursis qui avait été accordé à l’appelant par ordonnance pénale du 14 avril 2022, soutenant que cette peine était prescrite en vertu de l’art. 37 al. 1 let. b DPMin. Cependant, l’art. 100 2 e phrase CP, qui s’applique par renvoi de l’art. 1 al. 2 let. j DPMin, dispose qu’en cas de condamnation avec sursis ou d’exécution antérieure d’une mesure, la prescription court dès le jour où l’exécution de la peine est ordonnée. Dans le cas présent, le délai de prescription n’avait ainsi pas encore commencé à courir. L’appelant ayant récidivé durant le délai d’épreuve, une éventuelle révocation du sursis aurait dû être analysée. En application du principe de l’interdiction de la reformatio in pejus , il convient néanmoins de confirmer la décision des premiers juges.</w:t>
      </w:r>
    </w:p>
    <w:p>
      <w:r>
        <w:rPr>
          <w:b/>
        </w:rPr>
        <w:t>E. 8</w:t>
      </w:r>
    </w:p>
    <w:p>
      <w:r>
        <w:t>Se fondant sur sa libération de nombreux chefs d’accusation et du prononcé à son encontre d’une peine inférieur à la durée de la détention provisoire subie, l’appelant considère qu’une indemnité au sens des art. 429 al. 1 let. c et 431 al. 1 CPP devrait lui être allouée. Sa condamnation pour tous les chefs d’accusation, à l’exception du brigandage pour le cas 2.1 pour lequel l’agression a été retenue à la place, et la peine privative de liberté prononcée ayant été confirmées, cette conclusion doit être rejetée.</w:t>
      </w:r>
    </w:p>
    <w:p>
      <w:r>
        <w:rPr>
          <w:b/>
        </w:rPr>
        <w:t>E. 9</w:t>
      </w:r>
    </w:p>
    <w:p>
      <w:r>
        <w:t>Au vu de ce qui précède, l’appel de F.________ doit être rejeté et le jugement entrepris confirmé. Me Audrey Gohl, défenseur d’office de F.________, a produit une liste des opérations faisant état de 13h35 d’activité pour la procédure d’appel. Il n’y a pas lieu de s’en écarter, si ce n’est pour y ajouter 2h afin de tenir compte de la durée des débats d’appel. Les honoraires s’élèvent à 2'805 fr., correspondant à 15h35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56 fr. 10, une vacation forfaitaire de 120 fr. (art. 3bis al. 3 RAJ), ainsi que la TVA au taux de 8,1 % sur le tout, par 241 fr. 45. L’indemnité s’élève donc à 3'222 fr. 55 au total. Les frais de procédure d’appel s’élèvent à 4'947 fr. 55. Ils sont constitués de l’émolument d’audience, par 350 fr. (art. 21 al. 2 et 3 TFIP), de l’émolument de jugement, par 1'375 fr. (art. 21 al. 1 et 3 TFIP), et de l’indemnité d’office arrêtée ci-dessus. Ils seront mis à la charge de F.________, qui succombe (art. 428 al. 1 CPP et 44 al. 2 PPMin). F.________ sera tenu de rembourser à l’Etat de Vaud le montant de l’indemnité allouée à son défenseur d’office dès que sa situation financière le permettra (art. 135 al. 4 CPP et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