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183 vom 9. August 2024</w:t>
      </w:r>
    </w:p>
    <w:p>
      <w:r>
        <w:t>VD Tribunal cantonal, 2024-08-09, FR</w:t>
      </w:r>
    </w:p>
    <w:p>
      <w:r>
        <w:rPr>
          <w:b/>
        </w:rPr>
        <w:t xml:space="preserve">Quelle: </w:t>
      </w:r>
      <w:r>
        <w:t>https://mcp.opencaselaw.ch/entscheid/vd_findinfo_Jug___2025___183</w:t>
      </w:r>
    </w:p>
    <w:p>
      <w:r>
        <w:t>FR: VD_FINDINFO Jug / 2025 / 183 du 9 août 2024</w:t>
      </w:r>
    </w:p>
    <w:p>
      <w:r>
        <w:t>IT: VD_FINDINFO Jug / 2025 / 183 del 9 agosto 2024</w:t>
      </w:r>
    </w:p>
    <w:p>
      <w:pPr>
        <w:pStyle w:val="Heading2"/>
      </w:pPr>
      <w:r>
        <w:t>Regeste</w:t>
      </w:r>
    </w:p>
    <w:p>
      <w:r>
        <w:t>IN DUBIO PRO REO, INSOUMISSION À UNE DÉCISION DE L'AUTORITÉ, CONDUITE SANS AUTORISATION, ADMISSION PARTIELLE, FRAIS{EN GÉNÉRAL} | 292 CP, 95 al. 1 let. b LCR, 10 al. 3 CPP (CH)</w:t>
      </w:r>
    </w:p>
    <w:p>
      <w:pPr>
        <w:pStyle w:val="Heading2"/>
      </w:pPr>
      <w:r>
        <w:t>Erwägungen</w:t>
      </w:r>
    </w:p>
    <w:p>
      <w:r>
        <w:rPr>
          <w:b/>
        </w:rPr>
        <w:t>E. 1</w:t>
      </w:r>
    </w:p>
    <w:p>
      <w:r>
        <w:t>Interjeté dans les formes et délais légaux (art. 385 et 399 CPP), par le Ministère public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Le Ministère public conteste d’abord la libération du prévenu du chef d’accusation d’insoumission à une décision de l’autorité à raison des faits décrits sous cas 5 de l’acte d’accusation (cf. ch. 2.1 ci-dessus). Il fait valoir qu’à la date de la notification de l’ordonnance de mesures superprovisionnelles du 24 août 2022, X.________ était assisté d’un conseil, de sorte qu’il ne pouvait ignorer la teneur de cette ordonnance, soit qu’il faisait l’objet d’une interdiction d’approcher à moins de 100 mètres de son épouse.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w:t>
      </w:r>
    </w:p>
    <w:p>
      <w:r>
        <w:rPr>
          <w:b/>
        </w:rPr>
        <w:t>E. 3.3</w:t>
      </w:r>
    </w:p>
    <w:p>
      <w:r>
        <w:t>En l’espèce, la question qui se pose n’est pas celle de savoir si le prévenu faisait bien l’objet d’une mesure d’éloignement prononcée à titre préprovisionnel, puisque cet élément est établi, mais s’il en avait connaissance lorsqu’il s’est rendu au cabinet de pédiatrie, respectivement si elle lui était opposable au moment des faits. Sur ce point, les faits litigieux – que le prévenu ne conteste pas – datent du 5 septembre 2022 et l’ordonnance faisant injonction au précité de ne pas approcher son épouse à moins de 100 mètres avait été notifiée à son avocat par lettre du 26 août 2022, reçue le 29 août suivant. Un rendez-vous avait dès lors été fixé au prévenu par son conseil pour le 6 septembre 2022, soit le lendemain des faits litigieux. Avec la première juge, il faut donc admettre qu’il n’est pas établi à satisfaction de droit que le prévenu ait eu connaissance de l’injonction avant les faits. Le moyen doit donc être rejeté et la libération du prévenu du chef de prévention d’insoumission à une décision de l’autorité confirmée.</w:t>
      </w:r>
    </w:p>
    <w:p>
      <w:r>
        <w:rPr>
          <w:b/>
        </w:rPr>
        <w:t>E. 4.1</w:t>
      </w:r>
    </w:p>
    <w:p>
      <w:r>
        <w:t>Le Ministère public conteste encore la libération du prévenu du chef d’accusation de conduite d’un véhicule automobile sans autorisation à raison des faits décrits sous chiffre 2.2 ci-dessus (cas 8 de l’acte d’accusation). La Procureure fait valoir que le 5 septembre 2022, la police a notifié au prévenu une saisie provisoire de son permis de conduire, comportant expressément la mention de l’interdiction de conduire, document qui a été remis en mains propre à l’intéressé, comme l’en atteste la signature qu’il y a apposée.</w:t>
      </w:r>
    </w:p>
    <w:p>
      <w:r>
        <w:rPr>
          <w:b/>
        </w:rPr>
        <w:t>E. 4.2</w:t>
      </w:r>
    </w:p>
    <w:p>
      <w:r>
        <w:t>L’art. 95 al. 1 let. b LCR (loi fédérale sur la circulation routière du 19 décembre 1958 ; RS 741.01) prévoit qu’est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4.3.1</w:t>
      </w:r>
    </w:p>
    <w:p>
      <w:r>
        <w:t>La première juge a considéré qu’il existait un doute quant au fait que l’interdiction à titre préventif de conduire en Suisse avec effet dès le 5 septembre 2022 ait été signifiée au prévenu, respectivement qu’il savait qu’il faisait l’objet d’une telle interdiction au moment des faits litigieux.</w:t>
      </w:r>
    </w:p>
    <w:p>
      <w:r>
        <w:rPr>
          <w:b/>
        </w:rPr>
        <w:t>E. 4.3.2</w:t>
      </w:r>
    </w:p>
    <w:p>
      <w:r>
        <w:t>Ce raisonnement ne saurait être suivi. En effet, il est établi par pièce (P. 11) que le prévenu a eu connaissance de l’interdiction de conduire prononcée à son encontre lorsqu’il a été interpellé par la police pour conduite sous l’emprise de stupéfiants. Il ne pouvait donc ignorer cette interdiction et le fait qu’il prétende ne pas avoir reçu la décision rendue le 20 octobre 2022 par le Service des automobiles et de la navigation n’y change rien. Le grief doit donc être admis et l’intimé condamné pour conduite d’un véhicule automobile sans autorisation.</w:t>
      </w:r>
    </w:p>
    <w:p>
      <w:r>
        <w:rPr>
          <w:b/>
        </w:rPr>
        <w:t>E. 5.1</w:t>
      </w:r>
    </w:p>
    <w:p>
      <w:r>
        <w:t>Le Ministère public conteste la quotité de la peine infligée à l’intimé et conclu à ce qu’une peine pécuniaire de 120 jours-amende soit prononcée à son encontre et à ce que l’amende contraventionnelle soit augmentée à 1'500 fr. pour sanctionner les infractions d’insoumission à une décision de l’autorité et de contravention à la LStup.</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5.3</w:t>
      </w:r>
    </w:p>
    <w:p>
      <w:r>
        <w:t>En l’espèce, la culpabilité de l’intimé n’est pas minime, puisque par son comportement, il a mis en danger la sécurité routière, et plus largement publique. La peine pécuniaire de 20 jours-amende prononcée par la première juge pour sanctionner la conduite d’un véhicule automobile malgré une incapacité de conduire est adéquate et peut être confirmée. Elle doit être augmentée, par les effets du concours, de 20 jours-amende pour sanctionner la conduite d’un véhicule automobile sans autorisation dont le prévenu est in fine également reconnu coupable. Au vu de sa situation financière, le montant du jour-amende, fixé à 30 fr., ne prête pas le flanc à la critique. L’octroi du sursis, dont les conditions sont réalisées, avec un délai d’épreuve de deux ans, doit être confirmé également (art. 42 et 44 CP). Il n’y a en revanche pas lieu d’augmenter le montant de l’amende, fixée à 200 fr. pour sanctionner la contravention à la LStup, la libération du prévenu du chef d’accusation d’insoumission à une décision de l’autorité étant confirmée et la quotité de l’amende – qui n’est pas contestée en tant que telle – étant adéquate.</w:t>
      </w:r>
    </w:p>
    <w:p>
      <w:r>
        <w:rPr>
          <w:b/>
        </w:rPr>
        <w:t>E. 6.1</w:t>
      </w:r>
    </w:p>
    <w:p>
      <w:r>
        <w:t>Dans un dernier grief, invoquant une violation de l’art. 426 CPP, le Ministère public s’en prend à la répartition des frais de première instance, qui ont été laissés à la charge de l’Etat. Il fait valoir qu’une partie de ceux-ci doit être mise à la charge de l’intimé.</w:t>
      </w:r>
    </w:p>
    <w:p>
      <w:r>
        <w:rPr>
          <w:b/>
        </w:rPr>
        <w:t>E. 6.2</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répartition des frais de procédure repose sur le principe selon lequel celui qui a causé les frais doit les supporter. Ainsi, le prévenu doit supporter les frais en cas de condamnation (art. 426 al. 1 CPP). En cas d'acquittement partiel, la Cour devra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7B_216/2022 du 1 er avril 2025). Comme il est difficile de déterminer avec exactitude les frais qui relèvent de chaque fait imputable ou non au condamné, une certaine marge d'appréciation doit être laissée à la cour cantonale (TF 6B_435/2024 du 15 janvier 2025 consid. 5).</w:t>
      </w:r>
    </w:p>
    <w:p>
      <w:r>
        <w:rPr>
          <w:b/>
        </w:rPr>
        <w:t>E. 6.3</w:t>
      </w:r>
    </w:p>
    <w:p>
      <w:r>
        <w:t>En l’occurrence, le prévenu est en définitive libéré de quatre chefs d’accusation et condamné pour deux infractions et une contravention. Il y a donc effectivement lieu de mettre une partie des frais de justice à sa charge, à raison d’un tiers des frais communs – R.________ était également prévenue en première instance –, incluant l’indemnité allouée à son défenseur d’office, dont il sera tenu de rembourser la part mise à sa charge dès que sa situation financière le permettra (art. 135 al. 4 CPP). Le jugement entrepris sera modifié sur ces points.</w:t>
      </w:r>
    </w:p>
    <w:p>
      <w:r>
        <w:rPr>
          <w:b/>
        </w:rPr>
        <w:t>E. 7</w:t>
      </w:r>
    </w:p>
    <w:p>
      <w:r>
        <w:t>En définitive, l’appel doit être partiellement admis et le jugement entrepris modifié dans le sens des considérants qui précèdent. Aux débats d’appel, le défenseur d’office du prévenu a produit une liste de ses opérations, faisant état de 6 heures et 45 minutes consacrées au dossier. Il n’y a pas lieu de s’écarter du temps allégué. C’est ainsi une indemnité totale de 1'469 fr. 40 qui sera allouée à Me Nicolas Perret pour la procédure d’appel, correspondant à 6 heures et 45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1’215 fr., à des débours forfaitaires à hauteur de 2 % des honoraires admis, soit 24 fr. 30, à une vacation à 120 fr. (art. 3bis al. 1 et al. 3 RAJ) et à un montant de 110 fr. 10 correspondant à la TVA au taux de 8,1 % sur le tout. Vu l’issue de la cause, les frais de la procédure d’appel, constitués de l’émolument de jugement, par 1’100 fr., et d’audience, par 400 fr. (art. 21 al. 1 et 2 TFIP), ainsi que de l’indemnité allouée au défenseur d’office, par 1'469 fr. 40, soit au total 2’969 fr. 40, seront mis par moitié, soit par 1'484 fr. 70, à la charge de l’intimé, qui succombe partiellement (art. 428 al. 1 CPP). Le solde, par moitié, soit par 1'484 fr. 70, sera laissé à la charge de l’Etat. Le prévenu sera tenu de rembourser à l’Etat de Vaud la part de l’indemnité en faveur de son défenseur d’office mise à sa charge lorsque sa situation financière le permettra (art. 135 al. 4 CPP). Enfin, le dispositif du jugement de première instance comportant des erreurs de plume s’agissant des prénoms et noms de l’intimé, respectivement du nom de l’avocate de R.________, il sera rectifié d’office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