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154 vom 2. September 2024</w:t>
      </w:r>
    </w:p>
    <w:p>
      <w:r>
        <w:t>VD Tribunal cantonal, 2024-09-02, FR</w:t>
      </w:r>
    </w:p>
    <w:p>
      <w:r>
        <w:rPr>
          <w:b/>
        </w:rPr>
        <w:t xml:space="preserve">Quelle: </w:t>
      </w:r>
      <w:r>
        <w:t>https://mcp.opencaselaw.ch/entscheid/vd_findinfo_Jug___2025___154</w:t>
      </w:r>
    </w:p>
    <w:p>
      <w:r>
        <w:t>FR: VD_FINDINFO Jug / 2025 / 154 du 2 septembre 2024</w:t>
      </w:r>
    </w:p>
    <w:p>
      <w:r>
        <w:t>IT: VD_FINDINFO Jug / 2025 / 154 del 2 settembre 2024</w:t>
      </w:r>
    </w:p>
    <w:p>
      <w:pPr>
        <w:pStyle w:val="Heading2"/>
      </w:pPr>
      <w:r>
        <w:t>Regeste</w:t>
      </w:r>
    </w:p>
    <w:p>
      <w:r>
        <w:t>CONSTATATION DES FAITS, FIXATION DE LA PEINE, VIOLENCE CONTRE LES AUTORITÉS | 285 ch. 1 CP, 34 CP, 47 CP, 10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C.________ est recevable.</w:t>
      </w:r>
    </w:p>
    <w:p>
      <w:r>
        <w:rPr>
          <w:b/>
        </w:rPr>
        <w:t>E. 1.1</w:t>
      </w:r>
    </w:p>
    <w:p>
      <w:r>
        <w:t>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w:t>
      </w:r>
    </w:p>
    <w:p>
      <w:r>
        <w:t>Invoquant une violation de la présomption d’innocence et du principe de la libre appréciation des preuves, l’appelant reproche au premier juge d’avoir privilégié la version des agents de police plutôt que la sienne et celle de L.________. Il fait valoir qu’il ressortirait des vidéos au dossier qu’il était calme, qu’il ne gesticulait pas et qu’il n’aurait pas donné de coup. En outre, il ne serait pas cohérent que le policier ait déclaré qu’il savait qu’il devait s’accommoder d’être filmé dans l’exercice de ses fonctions, alors même qu’il avait exigé la suppression des vidéos qui avaient été prises. L’enregistrement de la conversation téléphonique avec la centrale de police mettrait en évidence des contradictions de la partie plaignante et le fait qu’elle aurait « pris en grippe » l’appelant. Au moment de son arrestation, le policier n’aurait pas exposé à l’appelant les motifs de cette arrestation en violation de l’art. 219 CPP. Enfin, la partie plaignante aurait varié dans ses déclarations et n’aurait que des souvenirs vagues de l’altercation. Tous ces éléments rendraient le policier peu crédible et ce serait ainsi à tort que le premier juge a retenu sa version des faits. L’appelant conteste ainsi avoir donné un quelconque coup à l’agent de police. En tout état de cause, les voies de faits retenues ne revêtiraient pas une intensité suffisante pour réaliser l’infraction réprimée à l’art. 285 CP, et ce d’autant que le policier n’a pas été blessé et qu’il a admis que le coup a pu être involontaire. Il s’agirait donc d’une simple bousculade et l’appelant ne pourrait quoi qu’il en soit qu’avoir agi par négligence.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w:t>
      </w:r>
    </w:p>
    <w:p>
      <w:r>
        <w:rPr>
          <w:b/>
        </w:rPr>
        <w:t>E. 3.1.2</w:t>
      </w:r>
    </w:p>
    <w:p>
      <w:r>
        <w:t>Aux termes de l'art. 285 al. 1 CP,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Dans les cas de peu de gravité, le juge peut prononcer une peine pécuniaire. L'art. 285 ch. 1 CP réprime deux infractions différentes : la contrainte contre les autorités ou les fonctionnaires et les voies de fait contre ceux-ci (TF 6B_386/2023 précité consid. 1.1.2 ; TF 6B_847/2022 du 27 avril 2023 consid. 5.2 ; TF 6B_182/2022 du 25 janvier 2023 consid. 2.1.1 ; TF 6B_366/2021 précité consid. 3.1).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5.2 ; ATF 120 IV 136 consid. 2a ; TF 6B_87112014 du 24 août 2015 consid. 3.1 ; TF 6B_1009/2014 du 2 avril 2015 consid. 5.1.1 ; TF 6B_659/2013 du</w:t>
      </w:r>
    </w:p>
    <w:p>
      <w:r>
        <w:rPr>
          <w:b/>
        </w:rPr>
        <w:t>E. 3.2</w:t>
      </w:r>
    </w:p>
    <w:p>
      <w:r>
        <w:t>Le tribunal de police a considéré qu’il n’y avait pas de raison de douter de la version d’un brigadier et d’une agente de police, tous deux assermentés et en exercice de leur fonction durant les faits incriminés. Le déroulement des événements avait été consigné dans un rapport du 26 octobre 2023, cosigné par l’agente et le brigadier en service ce jour-là. Les faits exposés dans la plainte du brigadier B.________ correspondaient aux éléments mentionnés dans le rapport de police et, lors de son audition aux débats, celui-ci s’était montré mesuré et sincère dans ses réponses, indiquant notamment qu’il ignorait si le coup que le prévenu lui a infligé à l’épaule était volontaire ou non. Il était en outre plausible que le prévenu était énervé, compte tenu de la perte de son téléphone portable, cas échéant de son vol, état d’énervement probablement amplifié par la consommation d’alcool. Enfin, les agents de police d’avaient pas de raison de dresser un faux rapport. Même si le coup avait été involontaire, en gesticulant à proximité du policier, le prévenu ne pouvait ignorer, à tout le moins par dol éventuel, qu’il était susceptible de commettre des voies de fait sur celui-ci, ce qui s’était d’ailleurs ce qui s’est produit.</w:t>
      </w:r>
    </w:p>
    <w:p>
      <w:r>
        <w:rPr>
          <w:b/>
        </w:rPr>
        <w:t>E. 3.3</w:t>
      </w:r>
    </w:p>
    <w:p>
      <w:r>
        <w:t>En l’espèce, l’appréciation faite par le tribunal de police est convaincante. Contrairement à ce que prétend l'appelant, il n'a nullement conservé son calme durant les faits. Les images vidéo qu'il invoque ne l'exculpent aucunement. En effet, ces images ne montrent pas la scène contestée, mais des faits antérieurs à l’arrestation et postérieurs à celle-ci, soit lorsque le prévenu avait déjà été maîtrisé au sol qu'il était placé dans le véhicule de police (clé USB fiche de séquestre n o 38467). Auparavant, lorsque le policier lui avait demandé de se calmer en lui prenant le poignet, l'appelant a continué à gesticuler et, finalement, le policier a été frappé à l'épaule. Ce comportement résulte clairement du rapport de dénonciation (cf. P. 4, p. 5) cosigné par deux agents assermentés, ainsi que de l'audition du brigadier de police B.________ (cf. jugt. p. 4), qui est resté mesuré dans ses déclarations. Il ne fait aucun doute que l'interpellation du prévenu – qui avait bu et qui était mécontent des services de police qui ne pouvaient rien faire ensuite de la perte ou du vol de son téléphone portable – a été provoquée par son propre comportement. A cet égard, il ressort également du rapport de police que l’intéressé n’était pas dans un état adéquat comme il le soutient, puisqu’il avait déjà été remis à l’ordre par un autre policier plus tôt dans la soirée parce qu’il importunait des passants, et qu’il avait paru très aviné dès lors qu’il vacillait par moments. Au demeurant, alors qu’il a nié avoir été énervé lors de l’audience de première instance, il a déclaré l’inverse aux débats d’appel, de sorte que c’est bien plutôt lui qui apparaît peu crédible. Pour le surplus, les prétendues incohérences mises en avant par l’appelant ne lui sont d’aucun secours. On ne voit en effet pas en quoi les propos tenus par le policer lors du contact téléphonique avec la centrale de police ou le fait qu’il ait exigé la suppression des vidéos – alors que C.________ filmait à proximité de son visage – apporteraient un quelconque éclairage sur les faits. C’est donc sans arbitraire et sans violation de la présomption d’innocence que le premier juge a retenu ceux-ci tels qu’exposés dans l’ordonnance pénale.</w:t>
      </w:r>
    </w:p>
    <w:p>
      <w:r>
        <w:rPr>
          <w:b/>
        </w:rPr>
        <w:t>E. 3.4</w:t>
      </w:r>
    </w:p>
    <w:p>
      <w:r>
        <w:t>Le comportement de l’appelant réalise bien les éléments constitutifs objectifs et subjectifs de l'art. 285 CP. Il importe peu qu’il ait frappé volontairement ou non le policier et il est également sans importance que celui-ci n'ait pas été blessé. En gesticulant, puis en se débattant et en provoquant une bousculade, il a bien commis des voies de fait à l'encontre du brigadier B.________, son comportement relevant à tout le moins d'une commission de l'infraction par dol éventuel. Au demeurant, indépendamment des voies de fait qui doivent ici être retenues, C.________ a de toute manière et incontestablement rendu plus difficile la tâche des policiers en s’opposant à son interpellation, respectivement en la provoquant, si bien que sa condamnation pour violence ou menaces contre les autorités ou les fonctionnaires devrait être confirmée de ce seul fait.</w:t>
      </w:r>
    </w:p>
    <w:p>
      <w:r>
        <w:rPr>
          <w:b/>
        </w:rPr>
        <w:t>E. 4</w:t>
      </w:r>
    </w:p>
    <w:p>
      <w:r>
        <w:t>L’appelant ne conteste la peine que dans la mesure où il a conclu à son acquittement. Elle doit être examinée d’office.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4.1.2</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w:t>
      </w:r>
    </w:p>
    <w:p>
      <w:r>
        <w:rPr>
          <w:b/>
        </w:rPr>
        <w:t>E. 4.2</w:t>
      </w:r>
    </w:p>
    <w:p>
      <w:r>
        <w:t>Le premier juge a considéré que la culpabilité du prévenu était légère. S’il contestait les faits, il ne pouvait être exclu que le coup ait été donné involontairement. Par ailleurs, le brigadier B.________ n’avait pas été blessé. Il ne s’agissait dès lors pas d’un coup violent mais de faible intensité. C.________ était inséré professionnellement en Suisse et le risque de récidive paraissait très faible. Le cas était ainsi de peu de gravité et une peine pécuniaire de 30 jours-amende à 30 fr. le jour avec sursis pendant 2 ans était suffisante pour réprimer le comportement du prévenu. En l’espèce, ces considérations ne prêtent pas le flanc à la critique. Le premier juge a largement tenu compte du fait qu’il s’agissait d’un cas de peu de gravité et on ne voit pas qu’une quelconque circonstance à décharge ait été omise. Quant au montant du jour-amende, il correspond à la situation financière de l’appelant. La peine pécuniaire prononcée doit donc être confirmée, tout comme l’octroi du sursis avec délai d’épreuve minimal.</w:t>
      </w:r>
    </w:p>
    <w:p>
      <w:r>
        <w:rPr>
          <w:b/>
        </w:rPr>
        <w:t>E. 5</w:t>
      </w:r>
    </w:p>
    <w:p>
      <w:r>
        <w:t>Au vu de ce qui précède, l’appel de C.________ doit être rejeté et le jugement entrepris confirmé. Vu l’issue de la cause, les frais de la procédure d’appel, constitués des émoluments de jugement et d’audience, par 1’500 fr. (art. 21 al. 1 et 2 TFIP [tarif des frais de procédure et indemnités en matière pénale du 28 septembre 2010 ; BLV 312.03.1]), seront mis à la charge de C.________,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