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138 vom 16. Mai 2024</w:t>
      </w:r>
    </w:p>
    <w:p>
      <w:r>
        <w:t>VD Tribunal cantonal, 2024-05-16, FR</w:t>
      </w:r>
    </w:p>
    <w:p>
      <w:r>
        <w:rPr>
          <w:b/>
        </w:rPr>
        <w:t xml:space="preserve">Quelle: </w:t>
      </w:r>
      <w:r>
        <w:t>https://mcp.opencaselaw.ch/entscheid/vd_findinfo_Jug___2025___138</w:t>
      </w:r>
    </w:p>
    <w:p>
      <w:r>
        <w:t>FR: VD_FINDINFO Jug / 2025 / 138 du 16 mai 2024</w:t>
      </w:r>
    </w:p>
    <w:p>
      <w:r>
        <w:t>IT: VD_FINDINFO Jug / 2025 / 138 del 16 maggio 2024</w:t>
      </w:r>
    </w:p>
    <w:p>
      <w:pPr>
        <w:pStyle w:val="Heading2"/>
      </w:pPr>
      <w:r>
        <w:t>Regeste</w:t>
      </w:r>
    </w:p>
    <w:p>
      <w:r>
        <w:t>CALOMNIE, DIFFAMATION, CONTRAINTE{DROIT PÉNAL}, TENTATIVE{DROIT PÉNAL}, REJET DE LA DEMANDE, ACQUITTEMENT | 173 ch. 1 CP, 174 ch. 1 CP, 181 CP, 22 ad 181 CP</w:t>
      </w:r>
    </w:p>
    <w:p>
      <w:pPr>
        <w:pStyle w:val="Heading2"/>
      </w:pPr>
      <w:r>
        <w:t>Erwägungen</w:t>
      </w:r>
    </w:p>
    <w:p>
      <w:r>
        <w:rPr>
          <w:b/>
        </w:rPr>
        <w:t>E. 1</w:t>
      </w:r>
    </w:p>
    <w:p>
      <w:r>
        <w:t>B.________ a conclu à l’irrecevabilité de l’appel interjeté par Y.________ SA, au motif qu’aucune pièce attestant du dépôt en temps utile de la déclaration d’appel n’aurait été fournie, de sorte que celle-ci devrait être considérée comme tardive. En l’occurrence, il ressort du dossier, plus particulièrement de l'enveloppe originale ayant contenu le jugement entrepris, que celui-ci a été notifié à Y.________ SA le 14 juin 2024, soit le dernier jour du délai de garde. Il s'ensuit que, déposée le 17 mai 2024, la déclaration d’appel l’a été en temps utile. En conséquence, interjetés dans les formes et délais légaux (art. 399 CPP) par des parties ayant qualité pour recourir (art. 381 al. 1 et 382 al. 1 CPP) contre le jugement d'un tribunal de première instance qui a clos la procédure (art. 398 al. 1 CPP), les appels d'Y.________ SA et du Ministère public sont recevables. La demande de non-entrée en matière doit être rejetée.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w:t>
      </w:r>
    </w:p>
    <w:p>
      <w:r>
        <w:t>A titre liminaire, on relèvera que le prévenu, intimé, ne conteste pas les faits qui lui sont reprochés. Seules les qualifications juridiques de ceux-ci, remises en cause par les appelants, seront donc examinées.</w:t>
      </w:r>
    </w:p>
    <w:p>
      <w:r>
        <w:rPr>
          <w:b/>
        </w:rPr>
        <w:t>E. 4.1</w:t>
      </w:r>
    </w:p>
    <w:p>
      <w:r>
        <w:t>S’agissant du cas 1 de l’acte d’accusation (cf. ch. 2.1 ci-dessus), les appelants se prévalent d’une constatation erronée des faits et d’une violation de l’art. 173 CP (Code pénal suisse du 21 décembre 1937 ; RS 311.0) et soutiennent que l’intimé n’aurait pas uniquement voulu sauvegarder ses intérêts, mais aurait cherché à porter atteinte à la réputation morale de l’appelante. En effet, l’objet de son courriel aurait été de laisser entendre à N.________ et L.________ qu’ils subiraient le même dommage réputationnel que l’appelante à défaut de règlement du litige selon les conditions fixées. Or, aucun élément ne permettrait de retenir que l’intimé aurait été fondé à faire état de l’existence de sa plainte déposée contre l’appelante au prétexte qu’elle était susceptible d’avoir également des répercussions sur la responsabilité de N.________ et L.________, dès lors que la communication diffamatoire avait pour velléité d’informer la totalité des acteurs du chantier, et non uniquement les deux personnes précitées. Les appelants soutiennent encore qu’en toute hypothèse, il n’était aucunement nécessaire pour l’intimé de mentionner sa plainte pénale, visant exclusivement l’appelante, afin de faire valoir de prétendus dommages civils à l’égard de tiers, étant au demeurant relevé que dite plainte a été frappée par une ordonnance de non-entrée en matière.</w:t>
      </w:r>
    </w:p>
    <w:p>
      <w:r>
        <w:rPr>
          <w:b/>
        </w:rPr>
        <w:t>E. 4.2.1</w:t>
      </w:r>
    </w:p>
    <w:p>
      <w:r>
        <w:t>Aux termes de l'art. 173 ch. 1 CP – dans sa teneur en vigueur depuis le 1 er juillet 2023 (RO 2023 p. 259 ; FF 2018 p. 2889) (étant précisé que le texte en vigueur antérieurement à cette date correspond aux mêmes éléments constitutifs et que la peine menace est identique) –,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4.2.2 et les références citées). Jouit du droit à l’honneur non seulement toute personne physique, mais toute personne morale ou entité capable d’ester en justice, à l’exception des collectivités publiques et des autorités (ATF 124 IV 262 consid. 2a ; TF 7B_54/2024 du 7 février 2025 consid. 2.2.3).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7B_54/2024 précité).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 ATF 137 IV 313 consid. 2.1.3). Pour qu'il y ait diffamation, il faut en outre que l'auteur s'adresse à un tiers. Est en principe considérée comme tiers toute personne autre que l'auteur et l'objet des propos qui portent atteinte à l'honneur (ATF 145 IV 462 consid. 4.3.3).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w:t>
      </w:r>
    </w:p>
    <w:p>
      <w:r>
        <w:rPr>
          <w:b/>
        </w:rPr>
        <w:t>E. 4.2.2</w:t>
      </w:r>
    </w:p>
    <w:p>
      <w:r>
        <w:t>L'art. 173 ch. 2 CP – dans sa teneur en vigueur depuis le 1 er juillet 2023 (RO 2023 p. 259 ; FF 2018 p. 2889) –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Si les propos diffamants ont pour objet la commission d'une infraction, la preuve de la vérité ne peut, sauf exception, être apportée que par la condamnation de la personne visée (ATF 132 IV 112 consid. 4.2 et les références citées ; TF 6B_767/2023 du 29 novembre 2023 consid. 4.6.1 ; TF 6B_1461/2021 du 29 août 2022 consid. 2.1.4 ; TF 6B_1225/2014 du 18 janvier 2016 consid. 1.1).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w:t>
      </w:r>
    </w:p>
    <w:p>
      <w:r>
        <w:rPr>
          <w:b/>
        </w:rPr>
        <w:t>E. 4.3.1</w:t>
      </w:r>
    </w:p>
    <w:p>
      <w:r>
        <w:t>Le Tribunal de police, en s'appuyant sur l'intégralité du courriel du 1 er juin 2021 dont ont été extraits les deux passages litigieux (cf. ch. 2.1 ci-dessus), a considéré que le prévenu avait pour intention non pas de souiller la réputation de la plaignante, mais de rappeler N.________ et L.________ à leurs responsabilités dans ce problème d'affaissement de son terrain, du fait qu'il considérait que la situation n’était pas réglée et que des procédures étaient en cours. Par sa démarche, le prévenu entendait donc sauvegarder des intérêts légitimes. Dans ce contexte, il était fondé à faire état de l'existence de la procédure pénale en cours, laquelle était susceptible d'avoir des répercussions sur la responsabilité de N.________ et L.________, sans que cela constitue des propos diffamatoires.</w:t>
      </w:r>
    </w:p>
    <w:p>
      <w:r>
        <w:rPr>
          <w:b/>
        </w:rPr>
        <w:t>E. 4.3.2</w:t>
      </w:r>
    </w:p>
    <w:p>
      <w:r>
        <w:t>L’appréciation de la première juge ne prête pas le flanc à la critique et doit être suivie. En effet, le simple fait de faire état d’une procédure pénale ne suffit pas à retenir une diffamation. S’il est vrai que les griefs que l’intimé élève contre l’appelante et le fait qu’il en exige la condamnation peut la faire apparaître sous un jour peu favorable, cela ne préjuge pas de l’issue d’une procédure judiciaire. Au contraire, l’intimé émet des réserves en indiquant qu’il attendra que les expertises confirment son point de vue pour agir « dans la limite de ce que la loi permet ». Les propos ont été tenus dans le cadre d’un litige manifestement connu des deux destinataires et ont été adressés à un nombre restreint de personnes qui étaient, de surcroît, parfaitement conscientes des circonstances dans lesquelles ils ont été énoncés. L’intimé a articulé ses propos de bonne foi ; ils sont présentés comme une hypothèse et il n’a pas recours à des formules inutilement discréditantes à l’endroit de l’appelante. Un lecteur non prévenu retiendrait de la lecture de ce courriel que la société appelante s’est potentiellement rendue coupable d’une infraction et que si tel est le cas, l’intimé se réserve le droit de faire état des erreurs des entreprises impliquées que les expertises révèleraient, respectivement confirmeraient. Cela ne suffit pas à rendre l’appelante méprisable aux yeux de tiers, étant ici rappelé qu’une personne morale n’est atteinte dans son honneur que lorsqu’il est allégué qu’elle a une activité ou un but propre à la rendre méprisable selon les conceptions morales généralement admises, ou lorsqu’on la dénigre elle-même, en évoquant le comportement méprisable de ses organes ou employés, ce qui n’est pas le cas in casu . Pour le surplus, les appelants ne contestent pas, à juste titre, la libération de l’intimé du chef d’accusation de menaces. Compte tenu de ce qui précède, les griefs des appelants doivent être rejetés et la libération de l’intimé des chefs de prévention de diffamation et de menaces confirmée.</w:t>
      </w:r>
    </w:p>
    <w:p>
      <w:r>
        <w:rPr>
          <w:b/>
        </w:rPr>
        <w:t>E. 5.1</w:t>
      </w:r>
    </w:p>
    <w:p>
      <w:r>
        <w:t>Les appelants contestent la libération de l’intimé du chef de prévention de tentative de contrainte à raison des faits décrits sous cas 2 de l’acte d’accusation (cf. ch. 2.2 ci-dessus) et soutiennent que par son courriel, le prévenu a cherché à obliger l’appelante à effectuer, à ses frais, les travaux qu’il estimait lui-même nécessaires, à savoir un réaménagement du mur de soutènement, en lui faisant redouter la survenance d’un dommage sérieux, soit la communication aux futurs propriétaires que la valeur de leurs investissements serait dépréciée, avec comme conséquence pour l’appelante que les futurs propriétaires retirent leur intérêt à l’achat ou renégocient à la baisse le montant d’achat des lots lors de la promotion immobilière. Ce comportement aurait été de nature à entraver l’appelante dans sa manière d’agir. Les appelants relèvent que si l’intimé avait réellement poursuivi un but idéal, il lui aurait été loisible de procéder par une action civile avant de contacter des tiers non-impliqués dans le déroulement des évènements, ce d’autant qu’il ne disposait d’aucun élément sérieux permettant de mettre en doute la stabilité du mur de soutènement.</w:t>
      </w:r>
    </w:p>
    <w:p>
      <w:r>
        <w:rPr>
          <w:b/>
        </w:rPr>
        <w:t>E. 5.2</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 TF 6B_8/2024 du 12 décembre 2024 consid. 2.1.1)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TF 6B_20/2024 du 17 décembre 2024 consid. 15.1 et les références citées).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précité consid. 2a/bb et les arrêts cités ; ATF 115 IV 207 consid. 2b/cc ; TF 6B_1407/2021 du 7 novembre 2022 consid. 2.1).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5.3.1</w:t>
      </w:r>
    </w:p>
    <w:p>
      <w:r>
        <w:t>Le Tribunal de police a considéré que le prévenu, inquiet par la teneur du courrier du 3 juin 2021 de l’ingénieur de C.________ SA traitant de la stabilité du mur de soutènement, était légitimé à vouloir entrer en contact avec les futurs acquéreurs des villas construites par l'appelante pour débattre de cette question et de la façon dont elle pourrait être traitée, compte tenu également des difficultés de communication existant entre l'appelante et le prévenu. L'annonce faite par ce dernier qu'il allait informer les futurs acquéreurs de la situation de ce mur n'avait rien d'illicite.</w:t>
      </w:r>
    </w:p>
    <w:p>
      <w:r>
        <w:rPr>
          <w:b/>
        </w:rPr>
        <w:t>E. 5.3.2</w:t>
      </w:r>
    </w:p>
    <w:p>
      <w:r>
        <w:t>Le raisonnement de la première juge doit être confirmé. D’une part, on ne distingue pas clairement dans le texte de l’acte d’accusation le but qui aurait été visé par le prévenu selon l’appelante et le comportement de celle-ci qu’il aurait cherché à obtenir ; l’appelante évoque des prestations financières, respectivement le paiement de prétentions que l’intimé aurait cherché à obtenir de sa part, ce qui ne ressort toutefois pas de l’acte d’accusation. Par ailleurs et quoi qu’il en soit, les termes utilisés par le prévenu, respectivement son intention d’aviser de futurs propriétaires d’un problème existant (la stabilité du mur de soutènement vu le stockage du tas de terre), n’étaient pas de nature à entraver l’appelante dans sa liberté d’action et de décision. Si on peut imaginer que certains acheteurs lui demandent des explications ou des garanties complémentaires, le courrier des ingénieurs de C.________ SA atteste toutefois de l’existence d’un problème, le tas de terre stocké au sommet du mur de soutènement devant être déplacé dès que possible. Aussi, aviser de futurs propriétaires d’un éventuel défaut n’est pas illicite dès lors que l’auteur est convaincu de l’existence de ce défaut et qu’il cherche à obtenir sa correction, et a priori rien de plus. Pour le surplus, les appelants ne contestent là non plus pas, à juste titre, la libération de l’intimé du chef d’accusation de menaces. Les griefs des appelants doivent donc être rejetés et la libération de l’intimé des chefs de prévention de tentative de contrainte et de menaces confirmée.</w:t>
      </w:r>
    </w:p>
    <w:p>
      <w:r>
        <w:rPr>
          <w:b/>
        </w:rPr>
        <w:t>E. 6.1</w:t>
      </w:r>
    </w:p>
    <w:p>
      <w:r>
        <w:t>Les appelants contestent l’acquittement de l’intimé des chefs de prévention de calomnie, subsidiairement diffamation, et de contrainte à raison des faits décrits sous cas 3 de l’acte d’accusation (cf. ch. 2.3 ci-dessus). Ils soutiennent que l’intéressé a cherché à souiller la réputation de l’appelante en s’adressant aux futurs propriétaires, tout en sachant que ses affirmations étaient erronées, puisqu’aucune procédure civile ou pénale n’était pendante à l’encontre de l’appelante, que l’ordonnance de non-entrée en matière rendue sur la plainte pénale déposée par l’intimé était devenue définitive et exécutoire depuis plusieurs mois et qu’aucune expertise n’attestait de prétendues violations des règles de l’art. Par ses agissements, l’intimé aurait fait en sorte qu’un avis des défauts soit adressé à l’appelante par les nouveaux propriétaires, en tentant ainsi de contraindre la société précitée à régler le litige en faveur de l’intéressé.</w:t>
      </w:r>
    </w:p>
    <w:p>
      <w:r>
        <w:rPr>
          <w:b/>
        </w:rPr>
        <w:t>E. 6.2.1</w:t>
      </w:r>
    </w:p>
    <w:p>
      <w:r>
        <w:t>Se rend coupable de calomnie au sens de l'art. 174 ch. 1 CP – dans sa teneur en vigueur depuis le 1 er juillet 2023 (RO 2023 p. 259 ; FF 2018 p. 2889) (étant précisé que le texte en vigueur antérieurement à cette date correspond aux mêmes éléments constitutifs et que la peine menace est identique) –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 TF 6B_676/2017 précité consid. 3.1).</w:t>
      </w:r>
    </w:p>
    <w:p>
      <w:r>
        <w:rPr>
          <w:b/>
        </w:rPr>
        <w:t>E. 6.2.2</w:t>
      </w:r>
    </w:p>
    <w:p>
      <w:r>
        <w:t>Les développements relatifs aux infractions de diffamation et de contrainte ont été rappelés plus haut (cf. consid. 4.2 et 5.2) ; il suffit d’y renvoyer.</w:t>
      </w:r>
    </w:p>
    <w:p>
      <w:r>
        <w:rPr>
          <w:b/>
        </w:rPr>
        <w:t>E. 6.3.1</w:t>
      </w:r>
    </w:p>
    <w:p>
      <w:r>
        <w:t>Le Tribunal de police a considéré que le prévenu était légitimé à parler de la situation avec les nouveaux propriétaires, dès lors qu'à ce moment-là, il se fondait de bonne foi sur le courriel du 3 juin 2021 de l’ingénieur de C.________ SA, que la situation était préoccupante et que la problématique de l'empiètement du mur n'avait toujours pas été réglée par une servitude.</w:t>
      </w:r>
    </w:p>
    <w:p>
      <w:r>
        <w:rPr>
          <w:b/>
        </w:rPr>
        <w:t>E. 6.3.2</w:t>
      </w:r>
    </w:p>
    <w:p>
      <w:r>
        <w:t>En l'espèce, comme mentionné ci-avant, on peut objectivement comprendre du courriel de C.________ SA que le mur de soutènement était problématique. Si, certes, ce courriel ne dit pas expressément que le mur n’a pas été réalisé conformément aux règles de l’art, il le laisse penser, dans la mesure où il évoque que le mur n’est pas étayé, que cette situation peut mettre en cause sa stabilité et que le profil du terrain en amont du mur de soutènement semble être différent de celui prévu dans le plan de base. Ces deux points peuvent laisser penser que le mur aurait dû être étayé et qu’il a été construit sans suivre exactement les plans. Le prévenu était donc légitimé à parler de cette situation avec les nouveaux propriétaires. S’agissant de l’ordonnance de non-entrée en matière rendue le 28 juillet 2021, elle concernait les dommages que le prévenu prétendait avoir subi sur son terrain et atteste simplement qu’il n’y a pas eu d’intention de F.________, administratrice de l’appelante, ne serait-ce que par dol éventuel, de causer des dommages à la propriété de l’intimé. Les travaux évoqués et discutés dans cette ordonnance ne concernent pas le mur de soutènement. On relèvera tout de même que cette décision fait état d’imprévus, de problèmes et de dommages à l’occasion du chantier, ce qui a conduit les parties à passer une convention civile, l’appelante s’engageant à verser 20'000 fr. au prévenu pour solde de tout compte. S’agissant enfin du grief selon lequel la première juge aurait totalement occulté le fait que par son contact du 15 octobre 2021, le prévenu avait non seulement informé les futurs propriétaires de l’objet du litige l’opposant à l’appelante mais aussi et surtout du fait que des procédures civile et pénale étaient ouvertes contre cette dernière au sujet du mur litigieux (cf. P. 18/3), alors qu’à la date en question, aucune procédure civile ou pénale n’était pendante, il est infondé, dès lors que ces éléments ne figurent pas dans l’acte d’accusation. Les griefs des appelants doivent donc être rejetés et la libération de l’intimé des chefs de prévention calomnie, subsidiairement diffamation, et contrainte confirmée.</w:t>
      </w:r>
    </w:p>
    <w:p>
      <w:r>
        <w:rPr>
          <w:b/>
        </w:rPr>
        <w:t>E. 7.1</w:t>
      </w:r>
    </w:p>
    <w:p>
      <w:r>
        <w:t>Pour les appelants, en ce qui concerne les faits décrits sous cas 4 de l’acte d’accusation (cf. ch. 2.4 ci-dessus), l’intimé ne pouvait ignorer le risque que son accusation soit fausse, ce qu’il a manifestement accepté. Il ne saurait donc avoir été légitimé à penser qu’il pouvait sans autre menacer l’appelante de la dénoncer aux autorités pénales. Dans ces conditions, le Tribunal de police aurait dû reconnaître le caractère manifestement imprudent, abusif et disproportionné de la démarche de l’intimé, qui n’a pas été précédée d’une quelconque prise de contact avec l’appelante. Selon l’appelant, les démarches de l’intimé auprès de la police et de la Municipalité ont eu pour conséquence une brève interruption du chantier et une menace de le stopper, contraignant l’appelante à fournir des précisions afin de pouvoir poursuivre les travaux, informations qui auraient été inutiles en l’absence des agissements du prévenu.</w:t>
      </w:r>
    </w:p>
    <w:p>
      <w:r>
        <w:rPr>
          <w:b/>
        </w:rPr>
        <w:t>E. 7.2</w:t>
      </w:r>
    </w:p>
    <w:p>
      <w:r>
        <w:t>Les développements relatifs à l’infraction de contrainte ont été rappelés plus haut (cf. consid. 5.2) ; il suffit d’y renvoyer.</w:t>
      </w:r>
    </w:p>
    <w:p>
      <w:r>
        <w:rPr>
          <w:b/>
        </w:rPr>
        <w:t>E. 7.3.1</w:t>
      </w:r>
    </w:p>
    <w:p>
      <w:r>
        <w:t>Le Tribunal de police a considéré que le prévenu était légitimé à croire que les intervenants sur le chantier ne respectaient pas les règles de sécurité posées par le permis de construire concernant l'accès des véhicules à la parcelle, dès lors que l'accord qui avait été donné par I.________ lors de la séance du 30 juin 2020 pour que la marche arrière soit autorisée pendant la période du chantier n'avait jamais été communiqué au prévenu. Celui-ci était également fondé à penser, dès lors que ses interventions auprès des ouvriers étaient restées vaines, que la seule façon pour lui d'obtenir le respect de cette clause de sécurité était de s'adresser aux autorités. Il n'y avait donc pas de tentative de contrainte.</w:t>
      </w:r>
    </w:p>
    <w:p>
      <w:r>
        <w:rPr>
          <w:b/>
        </w:rPr>
        <w:t>E. 7.3.2</w:t>
      </w:r>
    </w:p>
    <w:p>
      <w:r>
        <w:t>Cette appréciation doit être confirmée. Il apparait que le permis de construire comporte effectivement un article 111 intitulé « Accès riverains, places et stationnement », qui stipule que « les accès entrée et sortie » à la propriété s’effectueront uniquement en marche avant. Il est également établi qu’avant d’alerter les autorités, le prévenu a dit aux ouvriers qu’ils devaient respecter cette clause du permis de construire, à défaut de quoi il appellerait la police (jgmt p. 13). Le 21 octobre 2021, le prévenu a aussi adressé un courriel à l’appelante, en lui rappelant son interprétation de l’art. 111 du permis de construire. Il est par ailleurs établi que pour la période du chantier, les marches arrières avaient été autorisées (P. 12/5), mais que le prévenu n’en avait pas été informé. On peut dès lors sans autre retenir qu’il était légitimé à croire que les intervenants sur le chantier ne respectaient pas les règles de sécurité posées par le permis de construire concernant l’accès des véhicules à la parcelle. Il était également fondé à penser, dès lors que ses interventions auprès des ouvriers étaient restées vaines, que la seule façon pour lui d’obtenir le respect de cette clause de sécurité était de s’adresser aux autorités. A nouveau, on ne perçoit pas l’illicéité du but poursuivi, le prévenu cherchant à obtenir le respect des conditions du permis de construire tel qu’il l’avait interprété, respectivement tel qu’il en avait connaissance. Le but était donc en soi légitime, tout comme les moyens utilisés. On ne voit ainsi pas de tentative de contrainte dans le comportement du prévenu. Les griefs des appelants doivent donc être rejetés et la libération de l’intimé du chef de prévention de tentative de contrainte confirmée.</w:t>
      </w:r>
    </w:p>
    <w:p>
      <w:r>
        <w:rPr>
          <w:b/>
        </w:rPr>
        <w:t>E. 8.1</w:t>
      </w:r>
    </w:p>
    <w:p>
      <w:r>
        <w:t>Les appelants soutiennent, ad cas 5 de l’acte d’accusation (cf. ch. 2.5 ci-dessus), que l’intimé a cherché à contraindre l’appelante à réaliser des actes dispendieux sans nécessité, lui laissant craindre des conséquences dommageables si tel n’était pas le cas. Ainsi, la mention, par l’intimé, que le nettoyage de ses canalisations par l’appelante constituait une condition du permis de construire et de la délivrance du permis d’habiter, ne pouvait être comprise que comme la menace qu’à défaut de donner suite à ses exigences – infondées –, il mettrait tout en œuvre pour que le permis d’habiter ne soit pas délivré.</w:t>
      </w:r>
    </w:p>
    <w:p>
      <w:r>
        <w:rPr>
          <w:b/>
        </w:rPr>
        <w:t>E. 8.2</w:t>
      </w:r>
    </w:p>
    <w:p>
      <w:r>
        <w:t>Les développements relatifs à l’infraction de contrainte ont été rappelés plus haut (cf. consid. 5.2) ; il suffit d’y renvoyer.</w:t>
      </w:r>
    </w:p>
    <w:p>
      <w:r>
        <w:rPr>
          <w:b/>
        </w:rPr>
        <w:t>E. 8.3.1</w:t>
      </w:r>
    </w:p>
    <w:p>
      <w:r>
        <w:t>Le Tribunal de police a considéré qu'à la lecture de l'intégralité du courriel du 14 novembre 2021, on ne pouvait retenir que B.________ avait cherché à obliger la plaignante à effectuer des travaux coûteux à ses frais à elle, tout en sachant que la société n'avait pas à les réaliser. Au contraire, le prévenu, qui croyait que la partie de ses canalisations qui passait sur la parcelle de la plaignante devait également être curée, s'était déclaré prêt à laisser la précitée faire ce travail, moyennant que celui-ci intervienne seulement sur sa parcelle. Il n'y avait donc pas de tentative de contrainte.</w:t>
      </w:r>
    </w:p>
    <w:p>
      <w:r>
        <w:rPr>
          <w:b/>
        </w:rPr>
        <w:t>E. 8.3.2</w:t>
      </w:r>
    </w:p>
    <w:p>
      <w:r>
        <w:t>En l'espèce, l’appréciation faite par la première juge ne prête pas le flanc à la critique et doit être confirmée. La lecture du courriel dans son intégralité ne permet en effet pas de retenir, comme le fait l’acte d’accusation, que le prévenu a cherché à obliger l’appelante à effectuer des travaux coûteux à ses frais à elle, tout en sachant que la société n’avait pas à les réaliser. Le prévenu souhaitait seulement que les règles du permis de construire soient respectées et surtout que les travaux soient le plus vite terminés, sans impact sur sa propriété. Il a déclaré qu’il pensait que la partie de ses canalisations qui se trouvait sur le terrain de la plaignante devait être curée également, ce qui lui aurait été confirmé au téléphone par la Commune. Ce raisonnement est soutenable et n’est pas fondamentalement farfelu. Le chiffre 245 du permis de construire (P. 30/1) indique ceci : « Un curage et un contrôle caméra de tous les drainages et canalisations d’eaux claires et d’eaux usées du bien-fonds seront effectués à la fin du chantier. Un rapport sera transmis au Service infrastructure et gestion urbaine de la Ville de S.________ avant la délivrance du permis de construire ». Il n’est ainsi pas insoutenable d’envisager que la canalisation qui passe sur deux parcelles doive être vérifiée sur toute sa longueur, dans la mesure où les travaux sur une parcelle peuvent avoir des conséquences et boucher une canalisation en amont ou en aval de ceux-ci. Il n’y a dès lors pas de tentative de contrainte caractérisée. Les griefs des appelants doivent donc être rejetés et la libération de l’intimé du chef de prévention de tentative de contrainte confirmée.</w:t>
      </w:r>
    </w:p>
    <w:p>
      <w:r>
        <w:rPr>
          <w:b/>
        </w:rPr>
        <w:t>E. 9.1</w:t>
      </w:r>
    </w:p>
    <w:p>
      <w:r>
        <w:t>Pour les appelants, s’agissant des faits décrits sous cas 6 de l’acte d’accusation (cf. ch. 2.6 ci-dessus), le prévenu a imputé à l’appelante un comportement pénal, à savoir une violation de domicile par instigation, sans aucune réserve ni aucune preuve sérieuse de l’implication de la précitée. Il a ensuite immédiatement requis d’elle qu’elle remplace les plantes prétendument endommagées par l’intervention d’un ouvrier et qu’elle remette en l’état l’aménagement autour, sous la menace d’un dépôt de plainte pénale à son encontre. Les appelants soutiennent qu’eu égard à la situation et aux prétendus dommages qu’il aurait subis, le moyen de pression usité par l’intimé était totalement disproportionné.</w:t>
      </w:r>
    </w:p>
    <w:p>
      <w:r>
        <w:rPr>
          <w:b/>
        </w:rPr>
        <w:t>E. 9.2</w:t>
      </w:r>
    </w:p>
    <w:p>
      <w:r>
        <w:t>Les développements relatifs à l’infraction de contrainte ont été rappelés plus haut (cf. consid. 5.2) ; il suffit d’y renvoyer.</w:t>
      </w:r>
    </w:p>
    <w:p>
      <w:r>
        <w:rPr>
          <w:b/>
        </w:rPr>
        <w:t>E. 9.3.1</w:t>
      </w:r>
    </w:p>
    <w:p>
      <w:r>
        <w:t>Le Tribunal de police a relevé que s'il n'était pas clairement avéré que, comme le prétendait le prévenu, un ouvrier d'une entreprise mandatée par l'appelante s'était tenu sur son terrain, il était en revanche établi que les travaux auxquels cette entreprise avait procédé avaient eu comme conséquence de faire gicler de l'eau et de déplacer de la terre sur la parcelle du prévenu. Il apparaissait également que les ouvriers de cette entreprise n'avaient pas été informés par la plaignante du fait que, dans le contexte conflictuel de leur relation, le prévenu ne voulait pas que l'on pénètre sur sa parcelle, de quelque manière que ce soit. Il était également établi qu'un des ouvriers avait remis le couvercle sur la pipe de rinçage sans qu'il soit possible de déterminer s'il avait pu le faire en passant le bras par-dessus la barrière ou en pénétrant sur le terrain du prévenu. Dans ce contexte, quand bien même la réaction du prévenu apparaissait vive et procédurière, on ne pouvait lui reprocher le courriel qu'il avait adressé à la plaignante. Compte tenu de son droit de propriété, il était légitimé à rappeler à la plaignante qu'elle était tenue d'obtenir son accord à chaque fois qu'elle souhaitait entreprendre un quelconque travail sur sa parcelle, même si les termes utilisés pouvaient apparaître excessifs. Il y avait donc tout au plus une réaction épidermique et peut-être excessive de la part du prévenu, mais pas de tentative de contrainte.</w:t>
      </w:r>
    </w:p>
    <w:p>
      <w:r>
        <w:rPr>
          <w:b/>
        </w:rPr>
        <w:t>E. 9.3.2</w:t>
      </w:r>
    </w:p>
    <w:p>
      <w:r>
        <w:t>En l'espèce, et à nouveau, l’appréciation faite par le Tribunal de police ne prête pas le flanc à la critique et doit être confirmée. S’il n’est pas clair de savoir si, comme le prétend le prévenu, un ouvrier d’une entreprise mandatée par l’appelante s’est tenu sur son terrain (cf. jgmt pp.38-40), il est en revanche établi que les travaux auxquels cette entreprise a procédé ont eu comme conséquence de faire gicler de l’eau et de déplacer de la terre sur la parcelle du prévenu. Dans ce contexte, et à l’instar de la première juge, on relèvera que la réaction de l’intimé a effectivement été vive et procédurière, mais on ne saurait pour autant lui reprocher le courriel qu’il a adressé à l’appelante. Il est en effet évident qu’au vu de leur litige, le prévenu n’allait rien laisser passer s’agissant d’une intrusion, même minime, sur sa propriété. Or, en l’occurrence, « intrusion » il y a eu puisqu’il a nécessairement fallu enlever le couvercle de la pipe de la canalisation se trouvant sur la propriété du prévenu, et que de l’eau a giclé sur ses plantes, déplaçant légèrement le paillage. Il n’y a pas de tentative de contrainte, même si la réaction du prévenu est disproportionnée. Les griefs des appelants doivent donc être rejetés et la libération de l’intimé du chef de prévention de tentative de contrainte confirmée.</w:t>
      </w:r>
    </w:p>
    <w:p>
      <w:r>
        <w:rPr>
          <w:b/>
        </w:rPr>
        <w:t>E. 10.1</w:t>
      </w:r>
    </w:p>
    <w:p>
      <w:r>
        <w:t>S’agissant du cas 7 de l’acte d’accusation (cf. ch. 2.7 ci-dessus), les appelants considèrent que le prévenu n’a pas fait que de demander à une autorité de vérifier la légalité d’une construction au motif que certains points de l’autorisation de construire n’auraient pas été respectés par mégarde ; il a indiqué que l’appelante aurait commis des infractions, ce qui dénote que la société se serait a minima rendue coupable de violations intentionnelles à l’art. 130 LATC. L’appelant aurait manqué à tout devoir de prudence en fondant ses accusations sur de simples impressions personnelles. Il aurait donc dû être reconnu coupable de diffamation. L’appelant conteste en outre la libération de l’intimé du chef de prévention de tentative de contrainte, dans la mesure où sa saisine des autorités communales aurait eu pour unique but de nuire à l’appelante.</w:t>
      </w:r>
    </w:p>
    <w:p>
      <w:r>
        <w:rPr>
          <w:b/>
        </w:rPr>
        <w:t>E. 10.2</w:t>
      </w:r>
    </w:p>
    <w:p>
      <w:r>
        <w:t>Les développements relatifs aux infractions de diffamation et de contrainte ont été rappelés plus haut (cf. consid. 4.2 et 5.2) ; il suffit d’y renvoyer.</w:t>
      </w:r>
    </w:p>
    <w:p>
      <w:r>
        <w:rPr>
          <w:b/>
        </w:rPr>
        <w:t>E. 10.3.1</w:t>
      </w:r>
    </w:p>
    <w:p>
      <w:r>
        <w:t>Le Tribunal de police a considéré que le prévenu était libre de signaler aux autorités les différents points qu'il souhaitait voir contrôler par la Commune avant qu'elle ne délivre le permis d'habiter, respectivement de formuler l'exigence que la loi soit appliquée. Le prévenu était également libre de signaler à la Municipalité qu'il avait constaté que des travaux d'extension des terrasses étaient en cours sans qu'une autorisation ait été délivrée. Dans le contexte conflictuel opposant les parties et eu égard à l'absence de communication entre elles, les courriers et courriels du prévenu à la Municipale, comme d'ailleurs son appel téléphonique, étaient certes procéduriers mais ne consistaient en aucun cas en des actes répréhensibles.</w:t>
      </w:r>
    </w:p>
    <w:p>
      <w:r>
        <w:rPr>
          <w:b/>
        </w:rPr>
        <w:t>E. 10.3.2</w:t>
      </w:r>
    </w:p>
    <w:p>
      <w:r>
        <w:t>En l'espèce, le prévenu a contesté avoir agi de la sorte pour souiller la réputation de la plaignante auprès de tiers ou pour la contraindre à adopter des agissements en sa faveur ou empêcher la délivrance du permis d’habiter. Il soutient avoir agi ainsi uniquement dans le but de s’assurer du respect des règles. Les propos tenus par le prévenu doivent être examinés au regard du contexte de l’affaire. Ils ont été utilisés de telle manière qu’ils doivent être interprétés comme un ressenti subjectif de l’intéressé, en lien direct avec le conflit l’opposant à l’appelante. Les propos tenus l’ont été dans un cadre administratif et s’adressaient à une autorité qui était à même de faire la part des choses et connaissait parfaitement le litige et son quérulent citoyen. Ils ne visaient manifestement pas à faire passer l’appelante pour méprisable, mais à exprimer les doutes du prévenu sur le déroulement du chantier et la conformité des travaux avec le permis accordé. Dans ce contexte particulier, les propos dénoncés ne sont pas suffisamment caractérisés pour être considérés comme étant attentatoires à l’honneur de l’appelante, même si l’intimé a utilisé le terme « infractions ». Il est patent que ce faisant, il entendait uniquement se référer au non-respect du permis de construire ou des règles de la police des constructions. L’autorité municipale appelée à statuer sur le droit d’habiter était parfaitement à même d’apprécier les déclarations de l’intimé en fonction des éléments au dossier. La lecture de l’intégralité du courrier du 15 novembre 2021 permet de réaliser que le prévenu liste différents points qu’il souhaitait voir contrôlés par la Commune avant que celle-ci ne délivre le permis d’habiter, ce qui ne parait pas illicite. On doit considérer également que le prévenu pouvait signaler qu’il avait constaté que des travaux d’extension des terrasses étaient en cours sans qu’une autorisation ait été délivrée. A cet égard, il apparait en réalité que ces travaux d’extension n’avaient effectivement pas fait l’objet d’une autorisation. A l’instar de la première juge, on doit considérer que dans le contexte du conflit et d’absence de communication entre l’intimé et l’appelante, en laquelle il avait perdu toute confiance, les courriers et courriels à la Municipale, comme d’ailleurs son coup de fil, étaient certes procéduriers mais ne constituaient en aucun cas des actes répréhensibles. Les griefs des appelants doivent donc être rejeté et la libération de l’intimé des chefs de prévention de diffamation et de tentative de contrainte confirmée.</w:t>
      </w:r>
    </w:p>
    <w:p>
      <w:r>
        <w:rPr>
          <w:b/>
        </w:rPr>
        <w:t>E. 11.1</w:t>
      </w:r>
    </w:p>
    <w:p>
      <w:r>
        <w:t>L’appelant a conclu à ce que les frais de procédure soient mis à la charge de l’intimé et à ce qu’aucune indemnité à forme de l’art. 429 CPP lui soit allouée, arguant que ses comportements répétitifs et outranciers avaient conduit à l’ouverture de la procédure pénale et à sa poursuite au gré de ses nouveaux agissements en cours d’enquête. Quoi qu’il en soit, le montant de l’indemnité allouée par la première juge serait excessif.</w:t>
      </w:r>
    </w:p>
    <w:p>
      <w:r>
        <w:rPr>
          <w:b/>
        </w:rPr>
        <w:t>E. 11.2.1</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[Livre cinquième : Droit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Par ailleurs, le juge ne peut fonder sa décision que sur des faits incontestés ou déjà clairement établis (ATF 112 Ia 371 consid. 2a ; TF 6B_312/2024 du 17 septembre 2024 consid. 2.1 et les arrêts cités).</w:t>
      </w:r>
    </w:p>
    <w:p>
      <w:r>
        <w:rPr>
          <w:b/>
        </w:rPr>
        <w:t>E. 11.2.2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L'indemnité concerne les dépenses du prévenu pour un avocat de choix. Elle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w:t>
      </w:r>
    </w:p>
    <w:p>
      <w:r>
        <w:rPr>
          <w:b/>
        </w:rPr>
        <w:t>E. 11.2.3</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7B_343/2024 du 22 janvier 2025 consid. 3.2).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 TF 7B_343/2024 précité).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rPr>
          <w:b/>
        </w:rPr>
        <w:t>E. 11.3</w:t>
      </w:r>
    </w:p>
    <w:p>
      <w:r>
        <w:t>En l’espèce, l’intimé a été purement et simplement acquitté des infractions qui lui étaient reprochées et c’est donc à bon droit que la première juge a laissé les frais de la procédure à la charge de l’Etat et a alloué une pleine indemnité à l’intéressé, dont la quotité n’apparait au demeurant pas excessive compte tenu du tarif horaire déterminant (cf. art. 26a al. 3 TFIP [tarif des frais de procédure et indemnités en matière pénale du 28 septembre 2010 ; BLV 312.03.1]). A l’instar de la première juge, on relèvera que si l’intimé a certes adopté un comportement rigide et procédurier, on ne saurait lui reprocher d’être à l’origine de la procédure pénale, qui a été initiée sur plainte de l’appelante, alors même que le litige opposant les parties est de nature civile. Il n’y a donc pas de motif susceptible de justifier la mise des frais à la charge du prévenu, qui bénéficie d’un acquittement, ni lieu de déroger au principe du droit à l’indemnisation. Les griefs de l’appelant doivent être rejetés.</w:t>
      </w:r>
    </w:p>
    <w:p>
      <w:r>
        <w:rPr>
          <w:b/>
        </w:rPr>
        <w:t>E. 12</w:t>
      </w:r>
    </w:p>
    <w:p>
      <w:r>
        <w:t>En définitive, les appels doivent être rejetés et le jugement entrepris intégralement confirmé. Vu l’issue de la cause, les frais de la procédure d’appel, constitués de l’émolument de jugement, par 3’190 fr., et d’audience, par 700 fr. (art. 21 al. 1 et 2 TFIP), soit au total 3’890 fr., seront mis par moitié, soit par 1'945 fr., à la charge de l’appelante, qui succombe s’agissant des infractions poursuivies sur plainte (art. 428 al. 1 CPP). Le solde, par moitié, soit par 1'945 fr., correspondant aux infractions poursuivies d’office, sera laissé à la charge de l’Etat. L’intimé, qui a procédé avec l’assistance d’un avocat de choix et qui a obtenu gain de cause, a droit à une indemnité pour les dépenses occasionnées par l'exercice raisonnable de ses droits dans la procédure d'appel. Me Timothée Barghouth a produit une liste des opérations faisant état de 12 heures et 30 minutes consacrées à la cause, au tarif horaire de 350 francs. Le temps consacré à la préparation de l’audience d’appel, annoncé à hauteur de 7 heures et 30 minutes, apparaît excessif ; il y a lieu de le ramener à 4 heures et 45 minutes. Il convient encore d’ajouter 2 heures et 45 minutes pour tenir compte de la durée des débats d’appel. Enfin, le tarif horaire sera réduit à 300 francs. En définitive, l’indemnité allouée à Me Timothée Barghouth (art. 429 al. 3 CPP) pour la procédure d’appel doit être arrêtée à 4'264 fr. 55, montant correspondant à 12 heures et 30 minutes d’activité d’avocat au tarif horaire de 300 fr., par 3'750 fr., à des débours à hauteur de 2 % des honoraires admis, soit 75 fr., à une vacation à 120 fr. (art. 3bis al. 1 et al. 3 RAJ [règlement sur l’assistance judiciaire en matière civile du 7 décembre 2019 ; BLV 211.02.3], applicable par renvoi de l’art. 26a al. 6 TFIP) et à un montant de 319 fr. 55 correspondant à la TVA au taux de 8,1 % sur le tout. Au même titre que les frais de la cause, cette indemnité sera mise à la charge de l’appelante à raison d’une moitié, le solde étant laissé à la charge de l’Etat. Le chiffre III du dispositif communiqué aux parties contient une erreur, en ce sens que l'indemnité en faveur de l’intimé doit être allouée directement à son défenseur en application de l'art. 429 al. 3 CPP. Le dispositif sera dès lors rectifié d'office sur ce point (art.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