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134 vom 17. Juni 2024</w:t>
      </w:r>
    </w:p>
    <w:p>
      <w:r>
        <w:t>VD Tribunal cantonal, 2024-06-17, FR</w:t>
      </w:r>
    </w:p>
    <w:p>
      <w:r>
        <w:rPr>
          <w:b/>
        </w:rPr>
        <w:t xml:space="preserve">Quelle: </w:t>
      </w:r>
      <w:r>
        <w:t>https://mcp.opencaselaw.ch/entscheid/vd_findinfo_Jug___2025___134</w:t>
      </w:r>
    </w:p>
    <w:p>
      <w:r>
        <w:t>FR: VD_FINDINFO Jug / 2025 / 134 du 17 juin 2024</w:t>
      </w:r>
    </w:p>
    <w:p>
      <w:r>
        <w:t>IT: VD_FINDINFO Jug / 2025 / 134 del 17 giugno 2024</w:t>
      </w:r>
    </w:p>
    <w:p>
      <w:pPr>
        <w:pStyle w:val="Heading2"/>
      </w:pPr>
      <w:r>
        <w:t>Regeste</w:t>
      </w:r>
    </w:p>
    <w:p>
      <w:r>
        <w:t>EXPULSION{DROIT PÉNAL}, REJET DE LA DEMANDE, DISPOSITIONS PÉNALES DE LA LSTUP | 66a al. 1 let. o CP, 19 al. 1 LStup, 19 ch. 2 LStup</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rPr>
          <w:b/>
        </w:rPr>
        <w:t>E. 1.8</w:t>
      </w:r>
    </w:p>
    <w:p>
      <w:r>
        <w:t>doivent ainsi être retenus à son encontre. Pour le surplus, il ne conteste pas l’application de l’art. 19 al. 1 let. b et g et 2 let. a et b LStup (Loi fédérale sur les stupéfiants et les substances psychotropes du 3 octobre 1951 ; RS 812.121). On peut renvoyer au jugement entrepris à cet égard (p. 10).</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w:t>
      </w:r>
    </w:p>
    <w:p>
      <w:r>
        <w:rPr>
          <w:b/>
        </w:rPr>
        <w:t>E. 3.1</w:t>
      </w:r>
    </w:p>
    <w:p>
      <w:r>
        <w:t>L’appelant invoque une constatation erronée des faits par les premiers juges. Il suspecte ceux-ci de s’être fondés sur les déclarations de C.________ pour établir leur conviction de sa culpabilité, quand bien même ce témoin est mort avant d’avoir pu être entendu de façon contradictoire. Il soutient au demeurant que le fait que C.________ ait déclaré que l’appelant était son commanditaire devrait en réalité constituer un élément à décharge, les transporteurs impliqués dans un trafic international de drogues ne dénonçant jamais leurs commanditaires. La présence d’une photographie d’une pièce d’identité de l’appelant dans le téléphone de C.________ devrait également tendre à disculper l’appelant car aucun commanditaire n’enverrait à une mule un élément permettant de l’impliquer dans le trafic. Pour ce qui est des messages sur le téléphone de C.________, les exploitations téléphoniques ayant été supprimées à l’issue de la procédure instruite à l’encontre de celui-ci, ils ne seraient pas suffisants pour motiver la condamnation de l’appelant en l’absence du contexte dans lequel ils ont été échangés.</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européenne de sauvegarde des droits de l’homme et des libertés fondamentales du 4 novembre 1950 ; RS 0.101), ainsi que son corollaire, le principe in dubio pro reo , concernent tant le fardeau de la preuve que l'appréciation des preuves au sens large (ATF 145 IV 154 consid. 1.1 ; ATF 144 IV 345 consid. 2.2.3.1 ; ATF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 ; TF7B_150/2022 du 18 février 2025 consid. 3.2.2).</w:t>
      </w:r>
    </w:p>
    <w:p>
      <w:r>
        <w:rPr>
          <w:b/>
        </w:rPr>
        <w:t>E. 3.2.2</w:t>
      </w:r>
    </w:p>
    <w:p>
      <w:r>
        <w:t>Selon l'art. 6 par. 3 let. d CEDH, tout accusé a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(ATF 148 I 295 consid. 2.1 ; ATF 140 IV 172 consid. 1.3 ; ATF 133 I 33 consid. 3.1 ; ATF 131 I 476 consid. 2.2). En tant qu'elle concrétise le droit d'être entendu (art. 29 al. 2 Cst.), cette exigence est également garantie par l'art. 32 al. 2 Cst. (ATF 148 I 295 consid. 2.1 ; ATF 144 II 427 consid.3.1.2 ; ATF 131 I 476 consid. 2.2). Selon la jurisprudence de la Cour européenne des droits de l'homme, il ne peut être renoncé à une confrontation de l'accusé avec le témoin à charge ou à un interrogatoire complémentaire que dans des circonstances particulières. La CourEDH a admis que la déposition recueillie en cours d'enquête puisse être prise en considération sans audition contradictoire lorsque le témoin était décédé, qu'il restait introuvable malgré des recherches ou encore qu'il invoquait à juste titre son droit de refuser de déposer. Dans ces cas, il était toutefois nécessaire que la déposition soit soumise à un examen attentif, que le prévenu puisse prendre position à son sujet et que le verdict de culpabilité ne soit pas fondé sur cette seule preuve (ATF 148 I 295 consid. 2.2; 131 I 476 consid. 2.2 et les références citées). Les autorités ne devraient pas non plus être elles-mêmes responsables du fait que l'accusé n'ait pas pu exercer ses droits (en temps utile) (ATF 148 I 295 consid. 2.2 et les références citées ; TF 6B_1362/2023 du 20 septembre 2024 consid. 1.1.1 et les références citées).</w:t>
      </w:r>
    </w:p>
    <w:p>
      <w:r>
        <w:rPr>
          <w:b/>
        </w:rPr>
        <w:t>E. 3.3</w:t>
      </w:r>
    </w:p>
    <w:p>
      <w:r>
        <w:t>En l’espèce, il y a effectivement lieu d’écarter les déclarations de C.________, conformément aux réquisitions dans ce sens du défenseur de l’appelant, dès lors qu’il n’a pas pu être auditionné de façon contradictoire en raison de son décès. Les autres éléments probatoires au dossier permettent néanmoins d’acquérir la conviction de la culpabilité de l’appelant en ce qui concerne la livraison du 25 octobre 2020. En effet, il ressort de l’extraction du téléphone portable de C.________ qu’il a reçu le message suivant du raccordement italien +39[...] le 24 octobre 2020 à 23h30 : « The same bus 151. Stop at russen. It’s 16 stops ». Le détenteur du raccordement en question avait auparavant transmis un fichier PDF à C.________ contenant une copie de diverses pièces d’identité au nom d’D.________. Une comparaison entre les photographies figurant sur ces pièces d’identité et l’image de profil WhatsApp du raccordement a permis de constater qu’il s’agissait de la même personne (P. 9). L’appelant, qui conteste être le détenteur de ce numéro, n’a pas contesté être la personne en photo sur le profil WhatsApp. Il n’a en outre pas pu fournir d’explication crédible sur la raison qui aurait poussé un inconnu à utiliser une photo de lui pour ce profil et comment celui-ci aurait pu obtenir une copie de ses documents d’identité. A cet égard, il a déclaré que C.________ était la seule personne à qui il avait transmis ses documents d’identité. Il a expliqué avoir agi de la sorte car il travaillait pour le compte de C.________ et celui-ci devait régulariser sa situation de travail. Il a ensuite déclaré que C.________ avait dû « utiliser [ses] papiers d’identité à d’autres fins que celles pour lesquelles [il] les lui avai[t] donnés ». (PV aud. 5, ll. 86 ss). Ces explications ne sont pas cohérentes puisque c’est le détenteur du raccordement italien qui a transmis les documents à C.________ et non l’inverse (P. 9). On relève encore que l’appelant a des liens importants avec l’Italie, puisqu’il y a vécu et s’y rend régulièrement afin de voir sa femme et son fils. Il a également déclaré être resté en Italie durant neuf mois en 2020 (PV aud. 5, ll. 66 ss). Il apparaît donc que l’appelant est le détenteur de ce raccordement. Il ne fait au demeurant aucun doute que le message en question avait pour but d’indiquer à C.________ le lieu où il devait se rendre pour livrer la drogue. En effet, l’arrêt « Russen » se trouve sur la ligne du bus 151 dans la région de Saint-Gall, et C.________ s’est rendu à plusieurs reprises à Saint-Gall pour livrer de la drogue, comme cela ressort du jugement le condamnant (P. 18 et 22/2). Le message a de surcroit été envoyé à C.________ le jour avant le transport de drogue qu’il devait effectuer. Au vu de ce qui précède, il apparaît clairement que l’appelant était impliqué dans l’organisation du transport de la cocaïne. Les faits tels que ressortissant du chiffre</w:t>
      </w:r>
    </w:p>
    <w:p>
      <w:r>
        <w:rPr>
          <w:b/>
        </w:rPr>
        <w:t>E. 4.1</w:t>
      </w:r>
    </w:p>
    <w:p>
      <w:r>
        <w:t>L’appelant, qui conclut à son acquittement, ne conteste pas la peine qui a été prononcée à son encontre. Celle-ci doit cependant être revue d’office.</w:t>
      </w:r>
    </w:p>
    <w:p>
      <w:r>
        <w:rPr>
          <w:b/>
        </w:rPr>
        <w:t>E. 4.2.1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 citées).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de substance pure (ATF 145 IV 312 consid. 2.1.1 ; ATF 138 IV 100 consid. 3.2), à partir de laquelle le cas doit être considéré comme grave au sens de l'art. 19 al. 2 let. a LStup (ATF 121 IV 193 consid. 2b/aa). Le type de drogue et sa pureté doivent aussi être pris en considération (ATF 122 IV 299 consid. 2c ; ATF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6B_1009/2023 du 12 mars 2024 consid. 4.1 et les références citées). Si la réalisation de plusieurs circonstances aggravantes de l’art. 19 al. 2 LStup ne modifie pas le cadre légal de la peine, le juge pourra en tenir compte lors de la fixation de celle-ci sur la base des critères généraux de la fixation de la peine concrète, selon l’art. 47 CP, car cela aggrave la faute de l’auteur (ATF 120 IV 330 consid. 1c/aa ; TF 6B_970/2022 du 13 avril 2023 consid. 2.1).</w:t>
      </w:r>
    </w:p>
    <w:p>
      <w:r>
        <w:rPr>
          <w:b/>
        </w:rPr>
        <w:t>E. 4.2.2</w:t>
      </w:r>
    </w:p>
    <w:p>
      <w:r>
        <w:t>Selon l'art. 43 al. 1 CP, le juge peut suspendre partiellement l'exécution d'une peine privative de liberté d'un an au moins et de trois ans au plus afin de tenir compte de façon appropriée de la faute de l'auteur. Selon la jurisprudence, les conditions subjectives auxquelles l'art. 42 CP soumet l'octroi du sursis intégral s'appliquent également à l'octroi du sursis partiel (ATF 139 IV 270 consid. 3.3 ; ATF 134 IV 1 consid. 5.3.1). Même si l'art. 43 CP ne le prévoit pas expressément, l'octroi d'un sursis partiel suppose, comme pour l'octroi du sursis complet dans le cadre de l'art. 42 CP, l'absence de pronostic défavorable (ATF 134 IV 60 consid. 7.4). Si le pronostic sur le comportement futur de l'auteur n'est pas défavorable, la loi impose un sursis au moins partiel à l'exécution de la peine. En revanche, un pronostic négatif exclut le sursis partiel. S'il n'existe aucun espoir que le sursis puisse avoir une quelconque influence sur l'auteur, la peine doit être exécutée intégralement (ATF 134 IV 1 consid. 5.3.1 ; TF 6B_123/2024 du 9 avril 2024 consid. 3.1 et les références citées).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134 IV 1 consid. 4.2.1). Le juge dispose d’un large pouvoir d’appréciation dans l'émission du pronostic (ATF 145 IV 137 consid. 2.2 ; TF 6B_123/2024 précité consid. 3.1).</w:t>
      </w:r>
    </w:p>
    <w:p>
      <w:r>
        <w:rPr>
          <w:b/>
        </w:rPr>
        <w:t>E. 4.3</w:t>
      </w:r>
    </w:p>
    <w:p>
      <w:r>
        <w:t>En l’espèce, la culpabilité de l’appelant est lourde. Il a organisé une livraison transfrontalière et a participé à l’importation en Suisse d’une quantité de cocaïne pure plus de 60 fois supérieure au seuil du cas grave, mettant ainsi en danger la santé de nombreuses personnes. Son comportement réalise donc les éléments constitutifs de deux circonstances aggravantes de l’art. 19 al. 2 LStup. Il a en outre agi par appât du gain. Sa prise de conscience est nulle puisqu’il persiste à nier toute implication dans les faits en cause. La peine privative de liberté de 36 mois prononcée à son encontre est adaptée à l’ampleur de son activité criminelle et à sa culpabilité. L’appelant étant primodélinquant, son pronostic n’est pas résolument défavorable. Il convient ainsi de confirmer l’octroi du sursis partiel portant sur une partie de la peine s’élevant à 18 mois avec un délai d’épreuve de 3 ans.</w:t>
      </w:r>
    </w:p>
    <w:p>
      <w:r>
        <w:rPr>
          <w:b/>
        </w:rPr>
        <w:t>E. 5</w:t>
      </w:r>
    </w:p>
    <w:p>
      <w:r>
        <w:t>L’appelant n’a pas contesté la mesure d’expulsion prononcée à son encontre. Il peut être renvoyé, par adoption de motifs, à la motivation des premiers juges à cet égard, qui est claire et convaincante (art. 82 al. 4 CPP ; Jugement entrepris, p. 11).</w:t>
      </w:r>
    </w:p>
    <w:p>
      <w:r>
        <w:rPr>
          <w:b/>
        </w:rPr>
        <w:t>E. 6</w:t>
      </w:r>
    </w:p>
    <w:p>
      <w:r>
        <w:t>L’appelant requiert que les frais de procédure de première instance soient laissés à la charge de l’Etat et qu’une indemnité de l’art. 429 al. 1 CPP lui soit allouée. Sa condamnation étant confirmée, ces conclusions doivent être rejetées.</w:t>
      </w:r>
    </w:p>
    <w:p>
      <w:r>
        <w:rPr>
          <w:b/>
        </w:rPr>
        <w:t>E. 7</w:t>
      </w:r>
    </w:p>
    <w:p>
      <w:r>
        <w:t>Au vu de ce qui précède, l’appel doit être rejeté et le jugement entrepris confirmé. Me David Moinat, défenseur d’office d’D.________, a produit une liste d’opérations faisant état de 8h43 d’activité. Il n’y a pas lieu de s’en écarter, si ce n’est pour y ajouter 0h25 afin de tenir compte de la durée de l’audience d’appel. Les honoraires s’élèvent ainsi à 1'644 fr., correspondant à 9h08 d’activité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32 fr. 90, une vacation forfaitaire de 120 fr. (art. 3bis al. 3 RAJ), ainsi que la TVA au taux de 8,1 % sur le tout, par 145 fr. 55. L’indemnité s’élève donc à 1'942 fr. 45 au total. Les frais de procédure d’appel s’élèvent à 3'552 fr. 45. Ils sont constitués de l’émolument d’audience, par 400 fr. (art. 21 al. 2 TFIP), de l’émolument de jugement, par 1’210 fr. (art. 21 al. 1 TFIP), et de l’indemnité d’office arrêtée en faveur de Me Moinat. Ils seront mis à la charge d’D.________ qui succombe (art. 428 al. 1 CPP). D.________ sera tenu de rembourser à l’Etat de Vaud le montant de l’indemnité alloué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