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127 vom 23. Juli 2024</w:t>
      </w:r>
    </w:p>
    <w:p>
      <w:r>
        <w:t>VD Tribunal cantonal, 2024-07-23, FR</w:t>
      </w:r>
    </w:p>
    <w:p>
      <w:r>
        <w:rPr>
          <w:b/>
        </w:rPr>
        <w:t xml:space="preserve">Quelle: </w:t>
      </w:r>
      <w:r>
        <w:t>https://mcp.opencaselaw.ch/entscheid/vd_findinfo_Jug___2025___127</w:t>
      </w:r>
    </w:p>
    <w:p>
      <w:r>
        <w:t>FR: VD_FINDINFO Jug / 2025 / 127 du 23 juillet 2024</w:t>
      </w:r>
    </w:p>
    <w:p>
      <w:r>
        <w:t>IT: VD_FINDINFO Jug / 2025 / 127 del 23 luglio 2024</w:t>
      </w:r>
    </w:p>
    <w:p>
      <w:pPr>
        <w:pStyle w:val="Heading2"/>
      </w:pPr>
      <w:r>
        <w:t>Regeste</w:t>
      </w:r>
    </w:p>
    <w:p>
      <w:r>
        <w:t>MESURE{DROIT PÉNAL}, PROPORTIONNALITÉ, EXPERTISE, REJET DE LA DEMANDE, MESURE THÉRAPEUTIQUE INSTITUTIONNELLE | 56 CP, 56a CP, 59 CP, 60 CP, 63 CP, 63a CP, 63b CP</w:t>
      </w:r>
    </w:p>
    <w:p>
      <w:pPr>
        <w:pStyle w:val="Heading2"/>
      </w:pPr>
      <w:r>
        <w:t>Erwägungen</w:t>
      </w:r>
    </w:p>
    <w:p>
      <w:r>
        <w:rPr>
          <w:b/>
        </w:rPr>
        <w:t>E. 1</w:t>
      </w:r>
    </w:p>
    <w:p>
      <w:r>
        <w:t>Interjetés dans les formes et délais légaux (art. 399 CPP) par une partie ayant qualité pour recourir (art. 382 al. 1 CPP) contre le jugement d'un tribunal de première instance qui a clos la procédure (art. 398 al. 1 CPP),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Invoquant une violation du droit, une constatation incomplète ou erronée des faits et l’inopportunité du jugement de première instance, l’appelant conteste celui-ci en ce qu’il ordonne l'arrêt de la mesure ambulatoire (art. 63 CP) prononcée à son encontre le 23 novembre 2020 par la Cour d'appel pénale et son remplacement par une mesure thérapeutique institutionnelle au sens de l'art. 59 CP. Selon N.________, la motivation développée par le tribunal correctionnel afin de justifier une mesure au sens de l'art. 59 CP ferait fi de ses différentes déclarations faites aux débats de première instance. Il rappelle ainsi qu’il a précisé devant les premiers juges que le traitement qui lui était administré depuis le mois d'avril 2023, destiné à traiter ses fluctuations borderline, lui permettait d'obtenir une stabilité psychique que sa précédente médication, contre la bipolarité, ne lui offrait pas. Le jugement attaqué n'indiquerait cependant pas pourquoi cet élément, confirmé par le rapport d'expertise du 13 octobre 2023 et propre à influencer la mesure à ordonner, n'a pas été pris en considération. L’appelant expose également que l'altération de son discernement proviendrait de son alcoolisation massive et de la prise de stupéfiants, et non de ses troubles borderline (médiqués depuis le mois d’avril 2023 donc), et que ce ne sont pas ses troubles psychiatriques qui le feraient consommer, mais l'inverse. De plus, le rapport d'expertise retiendrait, à l'inverse du jugement querellé, qu'au cours des dernières années, il a séjourné durant environ un an et demi à la Fondation du Levant, ce qui lui avait permis, grâce aux soins dispensés dans cette institution, de retrouver une forme de stabilité psychique et addictologique. Il aurait certes rechuté dans sa consommation de substances psychoactives en 2021, mais cela démontrerait que le traitement des addictions porte ses fruits. L’appelant soutient encore que la mesure serait compliquée à mettre en œuvre en milieu carcéral et relève, avec le rapport d’expertise, qu’une mesure civile de protection, de type curatelle, dont il bénéficie, pourrait contribuer à stabiliser sa situation psychosociale et impacter positivement le risque de commission de nouvelles infractions. L’appelant allègue également que la mesure de l'art 59 CP qui a été ordonnée à son encontre ne respecte pas le principe de la proportionnalité, au sens de l'art. 56 CP, puisqu’il ressortirait du rapport d'expertise que c'est l'intensité de sa symptomatologie addictive qui s'inscrit en premier plan, soit les addictions, et non un grave trouble mental. Le trouble borderline étant valablement encadré en détention par la nouvelle médication, la poursuite du traitement de ce trouble pourrait être effectuée en parallèle d'un traitement des addictions, par le biais d'un traitement ambulatoire. L'expertise se fonderait d'ailleurs notamment sur « la durée probablement trop courte » de la mesure de l'art. 60 CP pour justifier son choix de l'art. 59 CP. Or, rien dans le rapport d'expertise n'indiquerait que la mesure envisagée permettrait une réduction nette du risque de récidive dans les 5 ans. Il existerait tout au plus une vague possibilité de diminution du risque, ce qui ne serait pas suffisant pour ordonner une mesure au sens de l'art. 59 CP. Dans la pesée des intérêts que l'autorité de première instance aurait dû réaliser, il n'aurait pas non plus été tenu compte du fait que la mesure préconisée par la première expertise (2019) n'avait finalement jamais été mise en œuvre, soit la mise en place d'un traitement des addictions au sens de l'art. 60 CP, couplée à un traitement ambulatoire du trouble de la personnalité. Enfin, N.________ indique que l’expertise retient un risque de récidive élevé pour des vols et dommages à la propriété, en cas de rechutes de consommations, mais que, pour d'autres infractions, même si elle ne peut pas exclure le risque, l’expertise ne se prononce pas. Ce seraient donc essentiellement des biens de moindre valeur, tels que la propriété ou le patrimoine, qui seraient menacés et qui devraient être protégés. S’agissant du grief de l’inopportunité, l’appelant met en évidence une incohérence entre, d’une part, la mise en œuvre d’une mesure qu’il qualifie de « véritable mini-internement » – dont le but est le traitement des addictions et la réintégration du condamné dans la société après de nombreuses années – et, d’autre part, l’expulsion prononcée à son encontre par les premiers juges, qu’il ne conteste pas. Il serait ainsi inopportun que l'Etat le soigne pendant de nombreuses années à (très) grands frais, pour finalement procéder à son expulsion.</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w:t>
      </w:r>
    </w:p>
    <w:p>
      <w:r>
        <w:rPr>
          <w:b/>
        </w:rPr>
        <w:t>E. 3.2.2</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w:t>
      </w:r>
    </w:p>
    <w:p>
      <w:r>
        <w:rPr>
          <w:b/>
        </w:rPr>
        <w:t>E. 3.2.4</w:t>
      </w:r>
    </w:p>
    <w:p>
      <w:r>
        <w:t>; ATF 134 IV 315 précité).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Aux termes de l'art. 56a CP, si plusieurs mesures s'avèrent appropriées, mais qu'une seule est nécessaire, le juge ordonne celle qui porte à l'auteur les atteintes les moins graves. Cette disposition pose les principes de la proportionnalité et de la subsidiarité dans le choix des mesures. Selon la jurisprudence, l'autorité cantonale viole le principe de subsidiarité si elle ordonne un traitement institutionnel au sens de l'art. 59 CP, au lieu d'un traitement ambulatoire au sens de l'art. 63 CP, alors que l'expert conclut qu'un traitement ambulatoire est suffisant (TF 6B_55/2007 du 7 mai 2007, consid. 4). Toutefois, le Tribunal fédéral a jugé que le principe de subsidiarité ne justifiait pas le prononcé d'un traitement ambulatoire lorsqu'il était impossible de parer au risque de récidive par une mesure autre qu'une mesure institutionnelle (TF 6B_457/2007 du 12 novembre 2007 consid. 5.2). A cet égard, il convient de ne pas perdre de vue qu'il est par définition aléatoire et difficile d'évaluer le degré de dangerosité d'un individu, étant rappelé, s'agissant de la décision sur le pronostic, que le principe « in dubio pro reo » n'est pas applicable (ATF 127 IV 1 consid. 2a). En effet,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 Aux termes de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En outre, selon l’art. 63b al. 5 CP, le juge peut remplacer l’exécution de la peine par une mesure thérapeutique institutionnelle prévue aux art. 59 à 61 s’il est à prévoir que cette mesure détournera l’auteur de nouveaux crimes ou de nouveaux délits en relation avec son état.</w:t>
      </w:r>
    </w:p>
    <w:p>
      <w:r>
        <w:rPr>
          <w:b/>
        </w:rPr>
        <w:t>E. 3.3.1</w:t>
      </w:r>
    </w:p>
    <w:p>
      <w:r>
        <w:t>Estimant que le passé du prévenu, dont les multiples traitements ou séjours en addictologie avaient échoué, démontrait la justesse de l’avis des experts, les premiers juges se sont basés sur le rapport d’expertise du 13 octobre 2023 pour ordonner l’arrêt de la mesure ambulatoire de l’art. 63 CP prononcée le 23 novembre 2020 par la Cour d’appel pénale à l’encontre de N.________ et remplacer cette mesure par une mesure thérapeutique institutionnelle de l’art. 59 CP. Le tribunal correctionnel a relevé que l’appelant n’avait jamais fait l’objet d’une mesure institutionnelle au long cours, puisque seul un traitement ambulatoire avait été ordonné en 2020, et que ses séjours dans des établissements de cure n’avaient jamais été de longue durée. Il paraissait donc nécessaire – et salutaire pour la sécurité publique – d’essayer de soigner le trouble psychiatrique de l’intéressé en parallèle à ses problèmes d’addiction, le seul traitement des dépendances couplé à une psychothérapie ambulatoire étant manifestement insuffisant. Le fait de coupler des soins psychiatriques intensifs à la prise en charge des addictions était le seul moyen de pallier le risque de récidive, décrit comme élevé en cas de rechute de consommations, puisque ces consommations intervenaient notamment afin de calmer les angoisses liées aux troubles psychiatriques du prévenu. Pour l’autorité de première instance, la mesure ambulatoire précédente devait être levée (art. 63a al. 3 CP), cette dernière étant devenue largement insuffisante compte tenu des multiples récidives intervenues durant le traitement, et remplacée par la mesure de l’art. 59 CP (art. 63b al. 5 CP).</w:t>
      </w:r>
    </w:p>
    <w:p>
      <w:r>
        <w:rPr>
          <w:b/>
        </w:rPr>
        <w:t>E. 3.3.2</w:t>
      </w:r>
    </w:p>
    <w:p>
      <w:r>
        <w:t>Cette appréciation doit être suivie. On constate en effet à la lecture du rapport du 13 octobre 2023 que les experts étaient conscients, d’une part, du trouble borderline, et non bipolaire, de l’appelant et, d’autre part, de l’état d’intoxication dans lequel il se trouvait au moment des faits incriminés. C’est ainsi en connaissance de cause que les experts ont estimé, compte tenu des fragilités psychiques de N.________, que seule une prise en charge institutionnelle globale, à long terme (plusieurs années), axée sur le trouble de la personnalité et les problématiques de dépendance paraissait indiquée pour prendre en charge efficacement ses troubles psychiques et pour permettre une diminution du risque de récidive. Les experts ont analysé la pertinence d’une mesure au sens de l'art. 60 CP, considérant toutefois qu’un traitement des addictions semblait en l'état insuffisant, compte tenu du trouble de la personnalité associé aux addictions et de la durée probablement trop courte d'une telle mesure, en regard de l'intensité des troubles de l'expertisé. Il importe dès lors peu, contrairement à ce que soutient l’appelant, que la mesure préconisée par la première expertise – soit la mise en place d'une mesure de l'art. 60 CP, couplée à un traitement ambulatoire du trouble de la personnalité – n’ait finalement jamais été mise en œuvre. On rappelle que les experts ont souligné l’adhésion superficielle aux soins de l’intéressé (sous-estimation de l'intensité et de la durée nécessaire) et la sur-estimation de ses capacités, entraînant un risque d’arrêt prématuré des soins, phénomène ayant déjà conduit l’intéressé à tenter de court-circuiter le processus judiciaire. Les praticiens ont également noté que l’évolution clinique de N.________ semblait mettre en évidence une incapacité de l'intéressé à prendre en charge et à gérer ses troubles psychiques, qui finissaient très régulièrement par des comportements de mise en danger personnelle et par des actes illégaux, dont l'escalade récente était à relever. A cet égard, force est dès lors de constater que le fait que le séjour de l’appelant auprès du Levant lui ait permis de retrouver une forme de stabilité psychique et addictologique n’apparaît pas suffisant pour renoncer à un traitement institutionnel. Partant, la mesure ordonnée par le tribunal de première instance respecte le principe de proportionnalité. Le fait que les infractions commises soient concomitantes à des intoxications représente une circonstance temporelle, mais n’est pas suffisant pour en conclure qu’en termes de causalité, l’addiction serait seule à expliquer la commission des infractions. Au demeurant, rien n'indique que la mesure de l’art. 59 CP entraînerait l'abandon de la médication que l’intéressé juge actuellement adaptée. S’agissant des éventuelles difficultés à mettre en œuvre la mesure en milieu carcéral, on constate que les experts se sont prononcés sur la problématique dans leur complément du 21 novembre 2023, proposant des structures à cet égard. Il n’y a pas de raison qu’il n’en soit pas tenu compte dans l’exécution de la mesure. En outre, on ne saurait estimer qu’une mesure civile de protection, pouvant certes contribuer à stabiliser la situation psychosociale de N.________ et impacter positivement le risque de récidive, soit suffisante à la prise en charge de l’intéressé ; une mesure civile n’exclut d’ailleurs pas une mesure pénale. Partant, force est de constater que l'appelant ne donne pas de raison de s'écarter de l'expertise. La Cour de céans n’en voit d’ailleurs pas, aucune circonstance ou indice important et bien établi n’en ébranlant la crédibilité. Avec les premiers juges, il faut ainsi observer que les différents traitements de l’appelant ou séjours en addictologie ont échoué et qu’il apparaît nécessaire et salutaire pour la sécurité publique d’essayer de soigner le trouble psychiatrique de N.________ en parallèle à ses problèmes d’addiction, le seul traitement des dépendances couplé à une psychothérapie ambulatoire étant manifestement insuffisant. La mesure ambulatoire précédente doit dès lors être levée, en application de l’art. 63a al. 3 CP, cette dernière étant devenue largement insuffisante compte tenu des multiples récidives intervenues durant le traitement, et remplacée par la mesure de l’art. 59 CP (art. 63b al. 5 CP). Ces motifs de sécurité publique commandent d’ailleurs de prendre en charge l’appelant d’un point de vue thérapeutique, malgré l’expulsion à laquelle le concerné va devoir faire face, même si la mesure impliquera des frais importants. Au demeurant, il faut constater que ce dernier élément ne saurait justifier qu’un délinquant dont l’expulsion a été ordonnée échappe à la mesure prononcée à son encontre.</w:t>
      </w:r>
    </w:p>
    <w:p>
      <w:r>
        <w:rPr>
          <w:b/>
        </w:rPr>
        <w:t>E. 4</w:t>
      </w:r>
    </w:p>
    <w:p>
      <w:r>
        <w:t>La détention subie par l’appelant depuis le jugement de première instance sera déduite (art. 51 CP).</w:t>
      </w:r>
    </w:p>
    <w:p>
      <w:r>
        <w:rPr>
          <w:b/>
        </w:rPr>
        <w:t>E. 5</w:t>
      </w:r>
    </w:p>
    <w:p>
      <w:r>
        <w:t>En définitive, l'appel de N.________ doit être rejeté. Le jugement entrepris doit être confirmé, sous réserve d’une modification d’office aux chiffres I et II de son dispositif : la tentative de vol d’importance mineure n’étant pas envisageable, l’art. 172 ter CP ne prévoyant pas expressément la punissabilité de la tentative (cf. art. 105 al. 2 CP ; ATF 142 IV 129 consid. 3.2), l’appelant doit être libéré de ce chef de prévention. Me Alexandre Saillet, défenseur d’office de N.________, a produit une liste des opérations ne prêtant pas le flanc à la critique. En tenant compte du temps exact de l’audience d’appel, il sera retenu 13.6 heures d’activité d’avocat.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2’448 francs. S’y ajoutent 2% pour les débours (art. 3bis RAJ par renvoi de l’art. 26b TFIP), soit 49 fr., une vacation à 120 fr. et 8.1% de TVA sur le tout, de sorte que l’indemnité d’office pour la procédure d’appel s’élève au total à 2'829 francs. Vu l’issue de la cause, les frais de la procédure d’appel, par 5'759 fr., constitués des émoluments de jugement et d’audience, par 2’930 fr. (art. 21 al. 1 et 2 TFIP), ainsi que de l’indemnité précitée, sont mis à la charge de N.________, qui succombe (art. 428 al. 1, 1 re phrase, CPP). L’appelant ne sera tenu de rembourser à l’Etat l’indemnité allouée à sa défenseure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