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106 vom 4. Oktober 2024</w:t>
      </w:r>
    </w:p>
    <w:p>
      <w:r>
        <w:t>VD Tribunal cantonal, 2024-10-04, FR</w:t>
      </w:r>
    </w:p>
    <w:p>
      <w:r>
        <w:rPr>
          <w:b/>
        </w:rPr>
        <w:t xml:space="preserve">Quelle: </w:t>
      </w:r>
      <w:r>
        <w:t>https://mcp.opencaselaw.ch/entscheid/vd_findinfo_Jug___2025___106</w:t>
      </w:r>
    </w:p>
    <w:p>
      <w:r>
        <w:t>FR: VD_FINDINFO Jug / 2025 / 106 du 4 octobre 2024</w:t>
      </w:r>
    </w:p>
    <w:p>
      <w:r>
        <w:t>IT: VD_FINDINFO Jug / 2025 / 106 del 4 ottobre 2024</w:t>
      </w:r>
    </w:p>
    <w:p>
      <w:pPr>
        <w:pStyle w:val="Heading2"/>
      </w:pPr>
      <w:r>
        <w:t>Regeste</w:t>
      </w:r>
    </w:p>
    <w:p>
      <w:r>
        <w:t>ACTE D'ORDRE SEXUEL, PEINE PRIVATIVE DE LIBERTÉ, LÉSION CORPORELLE SIMPLE | 189 CP, 10 CPP (CH), 398 al. 3 let. b CPP (CH)</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2.2</w:t>
      </w:r>
    </w:p>
    <w:p>
      <w:r>
        <w:t>et les arrêts cités).</w:t>
      </w:r>
    </w:p>
    <w:p>
      <w:r>
        <w:rPr>
          <w:b/>
        </w:rPr>
        <w:t>E. 3</w:t>
      </w:r>
    </w:p>
    <w:p>
      <w:r>
        <w:t>al. 2 let. c et 107 CPP ; cf. aussi art. 6 § 1 CEDH), est respectée lorsque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Lorsque que l'on peut discerner les motifs qui ont guidé la décision de l'autorité, le droit à une décision motivée est respecté, la motivation pouvant d'ailleurs être implicite et résulter des différents considérants de la décision (TF 7B_235/2024 du 23 août 2024 consid.</w:t>
      </w:r>
    </w:p>
    <w:p>
      <w:r>
        <w:rPr>
          <w:b/>
        </w:rPr>
        <w:t>E. 3.1</w:t>
      </w:r>
    </w:p>
    <w:p>
      <w:r>
        <w:t>Invoquant une constatation incomplète et erronée des faits, un abus de pouvoir d'appréciation et une violation des principes de la présomption d’innocence et du droit d’être entendu, l'appelant soutient en substance que les premiers juges auraient dû retenir sa propre version des faits et ainsi l’acquitter des infractions de lésions corporelles simples et de contrainte sexuelle. L'appelant conteste en particulier avoir contraint le plaignant à subir une fellation, tout comme une sodomie. Il invoque la présomption d’innocence et soutient que l’appréciation de la crédibilité des déclarations du plaignant reposerait sur un examen incomplet du dossier, qui omettrait les nombreuses et importantes contradictions dans les déclarations du plaignant, notamment s’agissant du nombre de fellations qu’il aurait été contraint de réaliser. Il fait par ailleurs valoir que le plaignant n’aurait pas tracé les contours précis de tous les actes reprochés. En revanche, en ce qui concerne son propre récit, le tribunal aurait cherché des contradictions là où il n’y en avait pas, alors qu’il aurait été clair et cohérent. Les motifs de ses difficultés à avouer une relation sexuelle avec un homme – soit le fait qu’il était marié et père, ainsi que d’origine algérienne – auraient été totalement ignorés par le tribunal, qui aurait à tort considéré ses déclarations comme peu crédibles. L’appelant reproche également aux premiers juges une violation du droit d’être entendu pour le motif que ces derniers n’avaient pas mentionné dans leur jugement les images des caméras de surveillance situées dans le train et à Montbenon, alors que celles-ci ne corroboreraient pas la version des faits du plaignant. Selon lui, il ressortirait des images prises dans le train que les deux parties avaient des discussions calmes et que le plaignant n’avait pas fui après les actes reprochés malgré une liberté totale de mouvements. Quant aux images prises à Montbenon, elles permettraient de constater que c’était le plaignant qui le suivait et qui tenait la bouteille de vodka et que l’appelant n’avait pas de couteau, infirmant ainsi les déclarations du plaignant. Selon l’appelant, ces images décrédibiliseraient le plaignant au point qu’il se justifiait de ne pas retenir sa version des faits. En ce qui concerne ensuite les traces biologiques retrouvées au niveau des fesses du plaignant, l’appelant relève en substance qu’une pénétration anale aurait très vraisemblablement laissé des traces ADN et que les quelques spermatozoïdes retrouvés pouvaient provenir d’un autre rapport sexuel, le plaignant étant homosexuel et ayant avoué avoir eu une relation avec son copain six jours avant. Selon lui, le tribunal aurait totalement ignoré les éléments qui précèdent.</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[ci-après : CR-CPP], n. 19 ad art. 398 CPP et les références citées).</w:t>
      </w:r>
    </w:p>
    <w:p>
      <w:r>
        <w:rPr>
          <w:b/>
        </w:rPr>
        <w:t>E. 3.2.2</w:t>
      </w:r>
    </w:p>
    <w:p>
      <w:r>
        <w:t>L'obligation de motiver, telle qu'elle découle du droit d'être entendu (art. 29 al. 2 Cst. [Constitution fédérale de la Confédération Suisse du 18 avril 1999 ; RS 101], art.</w:t>
      </w:r>
    </w:p>
    <w:p>
      <w:r>
        <w:rPr>
          <w:b/>
        </w:rPr>
        <w:t>E. 3.2.3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CR-CPP, n. 34 ad art. 10 CPP et les références citées).</w:t>
      </w:r>
    </w:p>
    <w:p>
      <w:r>
        <w:rPr>
          <w:b/>
        </w:rPr>
        <w:t>E. 3.2.4</w:t>
      </w:r>
    </w:p>
    <w:p>
      <w:r>
        <w:t>Conformément à l'art. 189 aCP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nouvelles dispositions du droit pénal en matière sexuelle, entrées en vigueur au 1 er juillet 2024, n’étant pas plus favorables au prévenu, celui-ci sera jugé selon les dispositions applicables au moment des faits litigieux. Constitue un acte d'ordre sexuel une activité corporelle sur soi-même ou sur autrui qui tend à l'excitation ou à la jouissance sexuelle de l'un des participants au moins (TF 6B_1414/2020 du 11 août 2021 consid. 2.2 ; TF 6B_231/2020 du 25 mai 2020 consid. 3.1).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références citées).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L’art. 189 CP tend ainsi à protéger la libre détermination en matière sexuelle (ATF 148 IV 234 consid. 3.3 ; TF  6B_127/2023 du 5 juin 2023 consid. 2.2.3 et les références citées). La contrainte sexuelle suppose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 TF  6B_127/2023 précité).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précité ; TF 6B_127/2023 précité). Sur le plan subjectif, la contrainte sexuelle est une infraction intentionnelle. L'auteur doit savoir que la victime n'est pas consentante ou en accepter l'éventualité. L'élément subjectif se déduit d'une analyse des circonstances permettant de tirer, sur la base des éléments extérieurs, des déductions sur les dispositions intérieures de l'auteur (ATF 148 IV 234 précité consid. 3.4 ; TF  6B_127/2023 précité consid. 2.2.4 et les références citées).</w:t>
      </w:r>
    </w:p>
    <w:p>
      <w:r>
        <w:rPr>
          <w:b/>
        </w:rPr>
        <w:t>E. 3.3.1</w:t>
      </w:r>
    </w:p>
    <w:p>
      <w:r>
        <w:t>En l’absence de toute certitude matérielle quant à la réalité des faits reprochés, les premiers juges ont analysé en détail les versions des deux protagonistes pour considérer finalement que la version des faits présentée par le plaignant emportait sa conviction, à l’aune des éléments du dossier. Au terme d'un jugement complet et convaincant, ils ont retenu que le plaignant avait été contraint de prodiguer une fellation à l’appelant dans les toilettes du train entre Yverdon et Lausanne, que l’appelant avait par la suite tenté à nouveau à une ou deux reprises d’introduire son sexe dans la bouche de sa victime dans le parc de Montbenon à Lausanne avant de réussir à le pénétrer analement, après lui avoir donné un coup de pied pour le faire tomber, tout en lui tenant les bras dans le dos, mains croisées dans le bas du dos.</w:t>
      </w:r>
    </w:p>
    <w:p>
      <w:r>
        <w:rPr>
          <w:b/>
        </w:rPr>
        <w:t>E. 3.3.2</w:t>
      </w:r>
    </w:p>
    <w:p>
      <w:r>
        <w:t>Dans son mémoire d’appel, l’appelant prend un soin particulier à faire la somme de toutes les contradictions qui émailleraient les déclarations de la victime pour en conclure qu’elle n’est pas crédible. Il n’en est toutefois rien. Il faut certes donner acte à l’appelant que la victime n'a pas d'emblée expliqué aux policiers qui ont recueilli sa plainte tous les faits qui s'étaient déroulés cette nuit-là. On constate ainsi une gradation dans ses déclarations en ce sens qu’elle a uniquement évoqué une fellation non consentie à Montbenon lors de sa première audition, puis une seconde fellation non consentie dans les toilettes du train lors de sa deuxième audition, puis l’entier des faits finalement retenus par le tribunal dès sa troisième audition. Cette gradation – tout comme son doute avoué sur l’ordre des événements lors de sa troisième audition – peut parfaitement s'expliquer par la fragilité intrinsèque de la victime, renforcée par le fait qu'elle avait passé cinq nuits sans dormir avant cette agression, à quoi on peut ajouter la consommation d'alcool et de drogue. Ces circonstances peuvent également expliquer la confusion de la victime s’agissant des faits liés aux fellations qui auraient précédé la pénétration anale à Montbenon. Le jugement retenant une ou deux tentatives de fellation, il faut admettre que le doute a profité à l’accusé sur ce point, puisque les dernières déclarations de la victime laissent apparaître que l’appelant était également parvenu à ses fins s’agissant de la fellation à Montbenon. Dans ces circonstances, le fait que le jugement résume effectivement faussement les déclarations de la 3 e audition du plaignant (p. 32 du jugement) n’a pas d’incidence sur l’issue du litige. Il ressort en outre du dossier que la lésion objectivée par le CURML à la jambe du plaignant est compatible avec le coup de pied évoqué par la victime. Si le plaignant n’a, dans un premier temps, pas évoqué l’acte de sodomie à la police, il en a fait mention au CURML le jour-même des faits. L’examen proctologique effectué sur la victime après les faits en question a permis par ailleurs de constater la présence d’une substance blanchâtre et a relevé un toucher rectal douloureux. La salive du plaignant a été retrouvée dans le caleçon de l’appelant et les vêtements du plaignant portaient des traces de sperme de l’appelant. Quant aux traces de sperme retrouvées sur les fesses de la victime, les analyses ADN n’ont certes pas pu établir que celui-ci provenait de l’appelant, sans toutefois l’exclure. Ainsi, en dépit de ce que soutient ce dernier, cela ne signifie pas que ce n’est pas le sien. En revanche, ces traces constituent un indice significatif, car elles témoignent d’un rapport sexuel complet récent. Sur ce point, on relèvera également que si l’appelant ne s’était certes pas douché avant de se rendre au CHUV, il a déclaré s’être nettoyé les fesses avec une lingette humide (cf. déclarations lors des débats du 30 septembre 2024), ce qui peut aisément expliquer le fait que peu de sperme ait été retrouvé sur son corps et que la trace ADN n’était pas exploitable. Enfin, la preuve du traumatisme subi est faite par la nécessité, pour le plaignant, d’être hospitalisé durant deux mois dans un établissement psychiatrique. Le témoignage de sa mère, jugé crédible par les premiers juges, atteste par ailleurs d'un changement radical de comportement à la suite des faits survenus le 4 mai 2023 dans le sens d'une péjoration importante de son état psychique. Compte tenu de tous ces éléments, il faut relever que si certains détails donnés par le plaignant lors de ses auditions n’ont certes pas pu être confirmés – tel que le fait que l’appelant ait tenu la bouteille de vodka à la main dans le train (audition du 17 juillet 2024) ou qu’il ait été en possession d’un couteau (audition du 26 mars 2024) –, ils ne sont quoi qu’il en soit pas de nature à mettre en doute l’ensemble des déclarations du plaignant. De son côté, l’appelant se garde bien de dire que ses déclarations ont également varié, de manière bien plus considérable. Dans un premier temps, il a contesté toute relation sexuelle avec le plaignant, insistant sur le fait qu'il était hétérosexuel. Puis, face aux preuves scientifiques, il a dû admettre qu'il avait obtenu une fellation consentie du plaignant. Si cette relation était consentie, on ne comprend pas pourquoi l’appelant a déployé autant d'énergie pour tenter d’effacer toute trace d'un rapport sexuel dans le véhicule de police. Le seul fait qu’il soit marié, père de deux enfants et d’origine algérienne n’apparaît à tout le moins pas suffisant pour le justifier.</w:t>
      </w:r>
    </w:p>
    <w:p>
      <w:r>
        <w:rPr>
          <w:b/>
        </w:rPr>
        <w:t>E. 3.3.3</w:t>
      </w:r>
    </w:p>
    <w:p>
      <w:r>
        <w:t>L’appelant fait encore grand cas du fait qu’à la sortie du train, la victime était libre de fuir, sans craindre pour sa vie, et que les images de la caméra de surveillance du train ne laissaient apparaître aucune contrainte de sa part, ni détresse du plaignant. Il en déduit que la victime était consentante. S’il est vrai qu’une fois parvenu à la gare de Lausanne, le plaignant aurait pu fuir, on comprend que l'attrait de la drogue était plus grand. C'est ce qu'il explique en d'autres termes lors de son audition du 17 juillet 2024. Il convient également de rappeler ici qu’il était sous l’effet de la drogue et de l’alcool et n’avait pas dormi depuis cinq jours, ce qui pouvait avoir un effet sur ses capacités à se défendre, à fuir et même à se rendre compte sur le moment de la gravité des actes subis. Il est par ailleurs vraisemblable que le plaignant se soit trouvé dans un état de sidération, qui empêche la victime d’un acte de violence d’analyser la situation et d'y réagir de façon adaptée, notamment par la fuite (pour un cas similaire, cf. CAPE 16 juin 2017/191, consid. 4.4.3). Un tel état, qui peut durer un certain temps, pourrait également expliquer que le plaignant aurait continué à parler à son agresseur. Dans ces circonstances, les images de la caméra de surveillance ne sont pas déterminantes pour établir si la fellation était consentie ou non et le fait pour les premiers juges de ne pas les avoir considérées comme un moyen de prouver le consentement du plaignant n’est pas constitutif d’une violation du droit d’être entendu.</w:t>
      </w:r>
    </w:p>
    <w:p>
      <w:r>
        <w:rPr>
          <w:b/>
        </w:rPr>
        <w:t>E. 3.3.4</w:t>
      </w:r>
    </w:p>
    <w:p>
      <w:r>
        <w:t>En définitive, le jugement ne viole pas l'art. 10 al. 3 CPP. Partant, il convient de confirmer les faits tels que retenus, qui sont manifestement constitutifs de contrainte sexuelle au sens de l’art. 189 aCP. A cet égard, la Cour renvoie au jugement entrepris (art. 82 al. 4 CPP) pour l’analyse des conditions légales de cette disposition, qu’elle fait sienne. L’appelant ne le conteste d’ailleurs pas, même à titre subsidiaire.</w:t>
      </w:r>
    </w:p>
    <w:p>
      <w:r>
        <w:rPr>
          <w:b/>
        </w:rPr>
        <w:t>E. 4.1</w:t>
      </w:r>
    </w:p>
    <w:p>
      <w:r>
        <w:t>A titre subsidiaire, l’appelant soutient que la dermabrasion de 4 cm, identifiée par les médecins du CURML, n’atteindrait pas la gravité requise par l’art. 123 CP.</w:t>
      </w:r>
    </w:p>
    <w:p>
      <w:r>
        <w:rPr>
          <w:b/>
        </w:rPr>
        <w:t>E. 4.2.1</w:t>
      </w:r>
    </w:p>
    <w:p>
      <w:r>
        <w:t>L’art. 126 al. 1 CP prévoit que quiconque se livre sur une personne à des voies de fait qui ne causent ni lésion corporelle ni atteinte à la santé est,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w:t>
      </w:r>
    </w:p>
    <w:p>
      <w:r>
        <w:rPr>
          <w:b/>
        </w:rPr>
        <w:t>E. 4.2.2</w:t>
      </w:r>
    </w:p>
    <w:p>
      <w:r>
        <w:t>Aux termes de l’art. 123 ch. 1 CP, quiconque, intentionnellement, fait subir à une personne une autre atteinte à l’intégrité corporelle ou à la santé est puni sur plainte puni d’une peine privative de liberté de trois ans au plus ou d’une peine pécuniaire. L’art. 123 CP réprime les lésions du corps humain ou de la santé qui ne peuvent être qualifiées de graves au sens de l’art. 122 CP. Cette disposition protège non seulement l’intégrité corporelle, mais aussi la santé psychique (ATF 119 IV 25 consid. 2a).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w:t>
      </w:r>
    </w:p>
    <w:p>
      <w:r>
        <w:rPr>
          <w:b/>
        </w:rPr>
        <w:t>E. 4.2.3</w:t>
      </w:r>
    </w:p>
    <w:p>
      <w:r>
        <w:t>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4.3</w:t>
      </w:r>
    </w:p>
    <w:p>
      <w:r>
        <w:t>En l’espèce, quoi qu'en pense l’appelant, une lésion causée par un coup de pied intentionnel dans une jambe qui laisse une dermabrasion légèrement croûteuse à contour ecchymotique entre parfaitement dans le champ d’application de l’art. 123 ch. 1 CP. Les circonstances dans lesquelles ce coup de pied a été donné et le fait qu’il ait eu pour effet de faire tomber le plaignant, au demeurant fragile, sont des éléments qui confortent les juges de céans dans la qualification de cet acte de lésion corporelle simple et non de voie de fait. Là encore, le jugement doit être confirmé.</w:t>
      </w:r>
    </w:p>
    <w:p>
      <w:r>
        <w:rPr>
          <w:b/>
        </w:rPr>
        <w:t>E. 5.1</w:t>
      </w:r>
    </w:p>
    <w:p>
      <w:r>
        <w:t>;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6B_793/2011 du 26 janvier 2012 consid. 4.3 ; sur le tout : CAPE 20 septembre 2023/318 consid. 4.2.4 et CAPE 20 décembre 2022/381 consid. 11.2.3).</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du 20 janvier 2025 consid. 1.2).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w:t>
      </w:r>
    </w:p>
    <w:p>
      <w:r>
        <w:rPr>
          <w:b/>
        </w:rPr>
        <w:t>E. 5.3</w:t>
      </w:r>
    </w:p>
    <w:p>
      <w:r>
        <w:t>En l’espèce, comme les premiers juges l’ont relevé, la culpabilité de l’appelant est lourde. En s’en prenant à une victime fragile sous le coup d’une pulsion immédiate et non assumée, rejetant par la suite la faute sur le plaignant et inventant une machination ourdie à son encontre par une victime mentalement atteinte et moralement répréhensible, l’appelant est en effet coupable d’une infraction à l’intégrité sexuelle perpétrée de manière particulièrement perverse. Il s’en est pris à un homme de près de 20 ans son cadet, qu’il savait être sous l’effet d’un manque de cocaïne, dans un premier espace clos dans le train, en l’attirant avec le produit de sa dépendance ; il a rejoué le même levier en arrivant à Lausanne, gardant la boulette de cocaïne et le solde de l’argent du plaignant, forçant ce dernier à le suivre jusqu’au parc de Montbenon, de nuit, en le tenant par sa dépendance à la drogue. A cet endroit, après avoir consommé de la cocaïne aux frais du plaignant, le prévenu, qui ignorait même son nom, a à nouveau tenté une ou deux fellations non consenties avant de lui imposer de force une sodomie jusqu’à éjaculation, laissant sa victime crier. Il s’est par ailleurs montré violent pour briser encore un peu plus la capacité de résister de sa victime. Partant, les actes sont objectivement et subjectivement graves. A cela s’ajoute que le prévenu a tout contesté et, lorsqu’il ne le pouvait pas, a rejeté la faute sur sa victime, qu’il est sous le coup d’une expulsion judiciaire depuis juillet 2021, que son casier judiciaire est très fourni, qu’il a également contrevenu à la Loi fédérale sur les stupéfiants et que le rapport de détention du 6 juin 2024 indique qu’il a été sanctionné par 4 jours d’arrêts disciplinaires pour avoir tenté d’agresser une agente de détention. A l’instar des premiers juges, on ne discerne en revanche aucune circonstance à décharge. Les infractions en cause ne peuvent qu’être sanctionnées d’une peine privative de liberté compte tenu de leur gravité et pour des motifs de prévention spéciale s’agissant des lésions corporelles simples. L’infraction la plus grave, soit la contrainte sexuelle, doit être sanctionnée d’une peine privative de liberté de 50 mois compte tenu de la manière d’agir précitée et de la multiplicité des épisodes. Cette peine doit être alourdie d’une peine privative de liberté de deux mois par l’effet du concours avec les lésions corporelles simples, d’un mois pour la rupture de ban et d’un mois pour le délit à la LStup. La peine privative de liberté de 54 mois fixée par les premiers juges est ainsi adéquate et doit être confirmée Cette peine ne permet pas l’octroi d’un sursis, même partiel. Les faits à l’origine des arrêts invoqués par l’appelant à l’appui la violation de l’égalité de traitement ne sont par ailleurs pas comparables au cas d’espèce, de sorte qu’il n’y a pas lieu d’entrer en matière sur un tel grief. Compte tenu de ce qui précède, les conclusions de l’appelant en indemnisation de la détention injustifiée et dans des conditions illicites doivent être rejetées.</w:t>
      </w:r>
    </w:p>
    <w:p>
      <w:r>
        <w:rPr>
          <w:b/>
        </w:rPr>
        <w:t>E. 6</w:t>
      </w:r>
    </w:p>
    <w:p>
      <w:r>
        <w:t>L’appelant a conclu à l’annulation de la mesure d’expulsion prononcée contre lui dans la seule mesure où il a conclu à son acquittement, hypothèse non réalisée en l’espèce. Celle-ci doit être confirmée au regard des art. 66a al. 1 let. h et 66b al. 2 CP, l’appelant ayant commis ses infractions alors que sa première expulsion pénale était encore effective et ne disposant d’aucune attache avec la Suisse.</w:t>
      </w:r>
    </w:p>
    <w:p>
      <w:r>
        <w:rPr>
          <w:b/>
        </w:rPr>
        <w:t>E. 7</w:t>
      </w:r>
    </w:p>
    <w:p>
      <w:r>
        <w:t>En définitive, l’appel doit être rejeté et le jugement attaqué confirmé. Conformément à l’art. 51 CP, la détention subie par l’appelant depuis le jugement de première instance sera déduite de la peine privative de liberté prononcée. Le maintien en détention pour des motifs de sûreté de l’appelant sera en outre ordonné pour garantir l’exécution de la peine prononcée, vu le risque de fuite qu’il présente (art. 221 al. 1 let. a CPP).</w:t>
      </w:r>
    </w:p>
    <w:p>
      <w:r>
        <w:rPr>
          <w:b/>
        </w:rPr>
        <w:t>E. 8</w:t>
      </w:r>
    </w:p>
    <w:p>
      <w:r>
        <w:t>Me Charlotte Palazzo, défenseur d’office de T.________, a produit une liste des opérations faisant état de 26 heures et 37 minutes d’activité d’avocat. Il convient de réduire ce temps consacré à la procédure d’appel à raison d’une heure consacrée à l’étude du dossier le 25 octobre 2024 et d’une heure consacrée à la reprise du dossier le 4 mars 2025, eu égard la connaissance approfondie du dossier qu’est sensée avoir l’avocate au stade de l’appel, d’une heure et trente minutes consacrée à l’audience d’appel pour tenir compte de la durée effective de celle-ci, ainsi que de 30 minutes s’agissant des opérations consécutives à la réception de l’arrêt, une heure apparaissant à cet égard suffisante. Ainsi, les honoraires s’élèvent à 4'071 fr., (22h37 x 180 fr. (art. 2 al. 1 let. a RAJ [règlement sur l'assistance judiciaire en matière civile du 7 décembre 2010 ; BLV 211.02.3] par renvoi de l'art. 26b TFIP [tarif des frais de procédure et indemnités en matière pénale ; BLV 312.03.1), auxquels s’ajoutent les débours forfaitaires à hauteur de 2 % par 81 fr. 40 (art. 3bis al. 1 RAJ), les frais de vacation par 720 fr. (6 x 120 fr.) et la TVA au taux de 8,1 % sur le tout, par 394 fr. 70. L’indemnité totale allouée s’élèvera donc à 5'267 fr. 10. Me Alessia Santoro, conseil juridique gratuit de Q.________, a produit une liste des opérations faisant état – hors audience d’appel, qui a duré une heure et 30 minutes – de 13 heures et 25 minutes d’activité d’avocat, dont il n’y a pas lieu de s’écarter. Ainsi, ses honoraires s’élèvent à 2'685 fr., (14h55 x 180 fr. (art. 2 al. 1 let. a RAJ [règlement sur l'assistance judiciaire en matière civile du 7 décembre 2010 ; BLV 211.02.3] par renvoi de l'art. 26b TFIP [tarif des frais de procédure et indemnités en matière pénale ; BLV 312.03.1), auxquels s’ajoutent les débours forfaitaires à hauteur de 2 % par 231 fr. 55 (art. 3bis al. 1 RAJ), les frais de vacation par 120 fr. et la TVA au taux de 8,1 % sur le tout, par 394 fr. 55. L’indemnité totale s’élève donc à 3'090 fr. 25. Les frais de procédure d’appel s’élèvent à 11'697 fr. 35. Ils sont constitués de l’émolument de jugement, par 3’340 fr. (art. 21 al. 1 TFIP) et des indemnités arrêtées ci-dessus. Ils seront mis à la charge de l’appelant, qui succombe (art. 428 al. 1 CPP). T.________ sera tenu de rembourser à l’Etat de Vaud le montant des indemnités allouées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