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101 vom 12. Februar 2025</w:t>
      </w:r>
    </w:p>
    <w:p>
      <w:r>
        <w:t>VD Tribunal cantonal, 2025-02-12, FR</w:t>
      </w:r>
    </w:p>
    <w:p>
      <w:r>
        <w:rPr>
          <w:b/>
        </w:rPr>
        <w:t xml:space="preserve">Quelle: </w:t>
      </w:r>
      <w:r>
        <w:t>https://mcp.opencaselaw.ch/entscheid/vd_findinfo_Jug___2025___101</w:t>
      </w:r>
    </w:p>
    <w:p>
      <w:r>
        <w:t>FR: VD_FINDINFO Jug / 2025 / 101 du 12 février 2025</w:t>
      </w:r>
    </w:p>
    <w:p>
      <w:r>
        <w:t>IT: VD_FINDINFO Jug / 2025 / 101 del 12 febbraio 2025</w:t>
      </w:r>
    </w:p>
    <w:p>
      <w:pPr>
        <w:pStyle w:val="Heading2"/>
      </w:pPr>
      <w:r>
        <w:t>Regeste</w:t>
      </w:r>
    </w:p>
    <w:p>
      <w:r>
        <w:t>ORDONNANCE DE NON-ENTRÉE EN MATIÈRE | 126 CPP (CH),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et dans les formes prescrites (art. 385 al. 1 CPP) par la partie plaignante qui a qualité pour recourir (art. 382 al. 1 CPP), le recours est recevable.</w:t>
      </w:r>
    </w:p>
    <w:p>
      <w:r>
        <w:rPr>
          <w:b/>
        </w:rPr>
        <w:t>E. 2.1</w:t>
      </w:r>
    </w:p>
    <w:p>
      <w:r>
        <w:t>Le recourant soutient en substance que la version des faits de D.________ ne serait pas crédible pour deux motifs, le premier étant que ce dernier ne pouvait, en se trouvant dans le garage – soit de l’autre côté de la porte –, avoir constaté que la porte avait été brusquement ouverte par un coup de pied et le second étant que l’épouse de D.________ ne pouvait avoir manqué d’être touchée par la porte dans le garage et ne pas avoir été présente lors des faits qui avaient suivi. Dans ces circonstances, la procureure aurait dû, selon lui, retenir les faits qui découlent de ses propres déclarations.</w:t>
      </w:r>
    </w:p>
    <w:p>
      <w:r>
        <w:rPr>
          <w:b/>
        </w:rPr>
        <w:t>E. 2.2.1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(ATF 146 IV 68 consid. 2.1).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 ATF 141 IV 87 consid. 1.3.1 ; TF 6B_654/2022 du 22 février 2023 consid. 2.1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précité consid. 3.1).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2.2.2</w:t>
      </w:r>
    </w:p>
    <w:p>
      <w:r>
        <w:t>Les voies de fait, réprimées par l’art. 126 CP (Code pénal suisse du 5 octobre 2007 ; RS 312.0), se définissent comme des atteintes physiques qui excèdent ce qui est socialement toléré et qui ne causent ni lésions corporelles, ni dommage à la santé. Une telle atteinte peut exister même si elle n’a causé aucune douleur physique (ATF 134 IV 189 consid. 1.2 ; TF 6B_782/2020 du 7 janvier 2021 consid. 3.1). L'atteinte au sens de l'art. 126 CP présuppose une certaine intensité (TF 6B_1191/2019 du 4 décembre 2019 consid. 3.1). Peuvent être qualifiées de voies de fait, une gifle, un coup de poing ou de pied, de fortes bourrades avec les mains ou les coudes (TF 6B_652/2023 du 11 décembre 2023 consid. 1.1.4 ; TF 6B_1064/2019 du 16 janvier 2020 consid. 2.2 ; TF 6B_386/2019 du 25 septembre 2019 consid. 2.1).</w:t>
      </w:r>
    </w:p>
    <w:p>
      <w:r>
        <w:rPr>
          <w:b/>
        </w:rPr>
        <w:t>E. 2.3</w:t>
      </w:r>
    </w:p>
    <w:p>
      <w:r>
        <w:t>En l’espèce, le recourant met en cause la crédibilité des déclarations de D.________ pour soutenir que sa propre version des faits aurait dû être retenue. Ses arguments ne convainquent toutefois pas. En effet, une personne qui se trouve de l’autre côté d’une porte brusquement ouverte peut constater que celle-ci est ouverte par le pied, dans la mesure où cette personne continue à être en mouvement jusqu’à ce que la porte soit grande ouverte. Ainsi, il est tout à fait crédible que D.________ et son épouse aient pu constater que R.________ avait ouvert la porte avec le pied. En outre, [...] a expliqué, lors de son audition, qu’elle n’avait pas vu les faits litigieux qui s’étaient produits dans le garage, car elle avait à ce moment-là déjà passé la porte et donc quitté le garage. Cela n’apparaît donc nullement en contradiction avec le fait qu’elle se soit trouvée derrière la porte – et donc dans le garage – au moment où le recourant l’avait ouverte. Dans ces circonstances, la version des faits de l’intimé n’apparaît pas moins crédible que celle du recourant. En définitive, il est tout à fait plausible que l’intimé se soit limité à effectuer un geste de défense non constitutif de voies de fait au sens de l’art. 126 CP.  Au surplus, il apparaît qu’aucun acte d’enquête ne pourra apporter la preuve de la commission de voies de fait par l’intimé, de sorte que c’est à juste titre que le Ministère public a refusé d’entrer en matière.</w:t>
      </w:r>
    </w:p>
    <w:p>
      <w:r>
        <w:rPr>
          <w:b/>
        </w:rPr>
        <w:t>E. 3</w:t>
      </w:r>
    </w:p>
    <w:p>
      <w:r>
        <w:t>En définitive, le recours, manifestement mal fondé, doit être rejeté sans échange d’écritures (art. 390 al. 2 CPP) et l’ordonnance entreprise confirmée. Les frais de procédure, constitués en l’espèce de l’émolument d’arrêt, par 770 fr. (art. 20 al. 1 TFIP [Tarif des frais de procédure et indemnités en matière pénale du 28 septembre 2010 ; RSV 312.03.1]), seront mis à la charge du recourant, qui succombe (art. 428 al. 1 CPP). Ces frais sont compensés avec le montant de 770 fr. que le recourant a versé à titre de sûreté (art. 7 TFIP). Par ces motifs, la Chambre des recours pénale prononce : I. Le recours est rejeté. II. L’ordonnance de non-entrée en matière du 12 novembre 2024 est confirmée. III. Les frais d’arrêt, par 770 fr. (sept cent septante francs), sont mis à la charge de R.________. IV. Les frais mis à la charge de R.________ au chiffre III ci-dessus sont compensés avec le montant 770 fr. (sept cent septante francs) versé par celui-ci à titre de sûretés. V. L’arrêt est exécutoire. Le président :               La greffière : Du Le présent arrêt, dont la rédaction a été approuvée à huis clos, est notifié, par l'envoi d'une copie complète, à : - M. R.________, - M. D.________, - Ministère public central, et communiqué à : ‑ Mme le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